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2E66D7" w:rsidRDefault="004B75AA">
      <w:pPr>
        <w:spacing w:after="8"/>
        <w:rPr>
          <w:rFonts w:ascii="Palatino" w:hAnsi="Palatino"/>
          <w:caps/>
          <w:sz w:val="18"/>
        </w:rPr>
      </w:pPr>
      <w:r w:rsidRPr="004B75AA">
        <w:rPr>
          <w:rFonts w:ascii="Palatino" w:hAnsi="Palatino"/>
          <w:b/>
          <w:noProof/>
          <w:spacing w:val="-5"/>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73.6pt;margin-top:-17.4pt;width:201.6pt;height:80.65pt;z-index:251658240;visibility:visible;mso-wrap-edited:f" o:allowincell="f">
            <v:imagedata r:id="rId8" o:title=""/>
          </v:shape>
          <o:OLEObject Type="Embed" ProgID="Word.Picture.8" ShapeID="_x0000_s1027" DrawAspect="Content" ObjectID="_1369127700" r:id="rId9"/>
        </w:pict>
      </w:r>
      <w:r w:rsidR="0002366A">
        <w:rPr>
          <w:rFonts w:ascii="Palatino" w:hAnsi="Palatino"/>
          <w:caps/>
          <w:sz w:val="18"/>
        </w:rPr>
        <w:t xml:space="preserve"> </w:t>
      </w:r>
      <w:r w:rsidR="002E66D7">
        <w:rPr>
          <w:rFonts w:ascii="Palatino" w:hAnsi="Palatino"/>
          <w:caps/>
          <w:sz w:val="18"/>
        </w:rPr>
        <w:t>Department of Health &amp; Human Services</w:t>
      </w:r>
    </w:p>
    <w:p w:rsidR="002E66D7" w:rsidRDefault="002E66D7">
      <w:pPr>
        <w:spacing w:after="8"/>
        <w:rPr>
          <w:rFonts w:ascii="Palatino" w:hAnsi="Palatino"/>
          <w:sz w:val="18"/>
        </w:rPr>
      </w:pPr>
      <w:r>
        <w:rPr>
          <w:rFonts w:ascii="Palatino" w:hAnsi="Palatino"/>
          <w:sz w:val="18"/>
        </w:rPr>
        <w:t>Centers for Medicare &amp; Medicaid Services</w:t>
      </w:r>
    </w:p>
    <w:p w:rsidR="002E66D7" w:rsidRDefault="002E66D7">
      <w:pPr>
        <w:spacing w:after="8"/>
        <w:rPr>
          <w:rFonts w:ascii="Palatino" w:hAnsi="Palatino"/>
          <w:sz w:val="18"/>
        </w:rPr>
      </w:pPr>
      <w:smartTag w:uri="urn:schemas-microsoft-com:office:smarttags" w:element="Street">
        <w:smartTag w:uri="urn:schemas-microsoft-com:office:smarttags" w:element="address">
          <w:r>
            <w:rPr>
              <w:rFonts w:ascii="Palatino" w:hAnsi="Palatino"/>
              <w:sz w:val="18"/>
            </w:rPr>
            <w:t>7500 Security Boulevard</w:t>
          </w:r>
        </w:smartTag>
      </w:smartTag>
      <w:r>
        <w:rPr>
          <w:rFonts w:ascii="Palatino" w:hAnsi="Palatino"/>
          <w:sz w:val="18"/>
        </w:rPr>
        <w:t>, Mail Stop S2-26-12</w:t>
      </w:r>
    </w:p>
    <w:p w:rsidR="002E66D7" w:rsidRDefault="002E66D7">
      <w:pPr>
        <w:spacing w:after="8"/>
        <w:rPr>
          <w:rFonts w:ascii="Palatino" w:hAnsi="Palatino"/>
          <w:sz w:val="19"/>
        </w:rPr>
      </w:pPr>
      <w:smartTag w:uri="urn:schemas-microsoft-com:office:smarttags" w:element="place">
        <w:smartTag w:uri="urn:schemas-microsoft-com:office:smarttags" w:element="City">
          <w:r>
            <w:rPr>
              <w:rFonts w:ascii="Palatino" w:hAnsi="Palatino"/>
              <w:sz w:val="18"/>
            </w:rPr>
            <w:t>Baltimore</w:t>
          </w:r>
        </w:smartTag>
        <w:r>
          <w:rPr>
            <w:rFonts w:ascii="Palatino" w:hAnsi="Palatino"/>
            <w:sz w:val="18"/>
          </w:rPr>
          <w:t xml:space="preserve">, </w:t>
        </w:r>
        <w:smartTag w:uri="urn:schemas-microsoft-com:office:smarttags" w:element="State">
          <w:r>
            <w:rPr>
              <w:rFonts w:ascii="Palatino" w:hAnsi="Palatino"/>
              <w:sz w:val="18"/>
            </w:rPr>
            <w:t>Maryland</w:t>
          </w:r>
        </w:smartTag>
        <w:r>
          <w:rPr>
            <w:rFonts w:ascii="Palatino" w:hAnsi="Palatino"/>
            <w:sz w:val="18"/>
          </w:rPr>
          <w:t xml:space="preserve">   </w:t>
        </w:r>
        <w:smartTag w:uri="urn:schemas-microsoft-com:office:smarttags" w:element="PostalCode">
          <w:r>
            <w:rPr>
              <w:rFonts w:ascii="Palatino" w:hAnsi="Palatino"/>
              <w:sz w:val="18"/>
            </w:rPr>
            <w:t>21244-1850</w:t>
          </w:r>
        </w:smartTag>
      </w:smartTag>
    </w:p>
    <w:p w:rsidR="002E66D7" w:rsidRDefault="002E66D7">
      <w:pPr>
        <w:rPr>
          <w:rFonts w:ascii="Palatino" w:hAnsi="Palatino"/>
          <w:sz w:val="19"/>
        </w:rPr>
      </w:pPr>
    </w:p>
    <w:p w:rsidR="00137A78" w:rsidRPr="000471EE" w:rsidRDefault="004B75AA" w:rsidP="00137A78">
      <w:pPr>
        <w:rPr>
          <w:rFonts w:ascii="Palatino" w:hAnsi="Palatino"/>
          <w:b/>
          <w:spacing w:val="-5"/>
        </w:rPr>
      </w:pPr>
      <w:r>
        <w:rPr>
          <w:rFonts w:ascii="Palatino" w:hAnsi="Palatino"/>
          <w:b/>
          <w:noProof/>
          <w:spacing w:val="-5"/>
        </w:rPr>
        <w:pict>
          <v:line id="_x0000_s1026" style="position:absolute;z-index:251657216" from="-1.05pt,14.4pt" to="466.95pt,14.4pt" o:allowincell="f" strokeweight="1pt"/>
        </w:pict>
      </w:r>
      <w:r w:rsidR="0027485D">
        <w:rPr>
          <w:rFonts w:ascii="Palatino" w:hAnsi="Palatino"/>
          <w:b/>
          <w:spacing w:val="-5"/>
        </w:rPr>
        <w:t>Center for Medicaid, CHIP and Survey &amp; Certification</w:t>
      </w:r>
      <w:r w:rsidR="00393167">
        <w:rPr>
          <w:rFonts w:ascii="Palatino" w:hAnsi="Palatino"/>
          <w:b/>
          <w:spacing w:val="-5"/>
        </w:rPr>
        <w:tab/>
      </w:r>
      <w:r w:rsidR="00137A78" w:rsidRPr="00016474">
        <w:rPr>
          <w:rFonts w:ascii="Palatino" w:hAnsi="Palatino"/>
          <w:b/>
          <w:spacing w:val="-5"/>
          <w:sz w:val="40"/>
          <w:szCs w:val="40"/>
        </w:rPr>
        <w:tab/>
      </w:r>
      <w:r w:rsidR="00137A78" w:rsidRPr="00016474">
        <w:rPr>
          <w:rFonts w:ascii="Palatino" w:hAnsi="Palatino"/>
          <w:b/>
          <w:spacing w:val="-5"/>
          <w:sz w:val="40"/>
          <w:szCs w:val="40"/>
        </w:rPr>
        <w:tab/>
      </w:r>
      <w:r w:rsidR="00137A78" w:rsidRPr="00016474">
        <w:rPr>
          <w:rFonts w:ascii="Palatino" w:hAnsi="Palatino"/>
          <w:b/>
          <w:spacing w:val="-5"/>
          <w:sz w:val="40"/>
          <w:szCs w:val="40"/>
        </w:rPr>
        <w:tab/>
      </w:r>
      <w:r w:rsidR="00393167" w:rsidRPr="00016474">
        <w:rPr>
          <w:b/>
          <w:color w:val="FF0000"/>
          <w:sz w:val="40"/>
          <w:szCs w:val="40"/>
        </w:rPr>
        <w:tab/>
      </w:r>
      <w:r w:rsidR="00393167" w:rsidRPr="00016474">
        <w:rPr>
          <w:b/>
          <w:color w:val="FF0000"/>
          <w:sz w:val="40"/>
          <w:szCs w:val="40"/>
        </w:rPr>
        <w:tab/>
      </w:r>
      <w:r w:rsidR="00393167" w:rsidRPr="00016474">
        <w:rPr>
          <w:b/>
          <w:color w:val="FF0000"/>
          <w:sz w:val="40"/>
          <w:szCs w:val="40"/>
        </w:rPr>
        <w:tab/>
      </w:r>
    </w:p>
    <w:p w:rsidR="003A70C9" w:rsidRDefault="00393167" w:rsidP="00137A78">
      <w:pPr>
        <w:ind w:left="5760" w:firstLine="720"/>
      </w:pPr>
      <w:r w:rsidRPr="0000256E">
        <w:t xml:space="preserve">SMDL # </w:t>
      </w:r>
    </w:p>
    <w:p w:rsidR="003A70C9" w:rsidRDefault="003A70C9" w:rsidP="003A70C9"/>
    <w:p w:rsidR="003A70C9" w:rsidRDefault="00CE34C1" w:rsidP="003A70C9">
      <w:r>
        <w:t>June 10,</w:t>
      </w:r>
      <w:r w:rsidR="000471EE">
        <w:t xml:space="preserve"> 2011</w:t>
      </w:r>
    </w:p>
    <w:p w:rsidR="003A70C9" w:rsidRDefault="003A70C9" w:rsidP="003A70C9">
      <w:pPr>
        <w:ind w:left="4320"/>
        <w:rPr>
          <w:rFonts w:ascii="Times New Roman" w:hAnsi="Times New Roman"/>
          <w:b/>
          <w:szCs w:val="24"/>
        </w:rPr>
      </w:pPr>
    </w:p>
    <w:p w:rsidR="00393167" w:rsidRPr="00490536" w:rsidRDefault="00393167" w:rsidP="003A70C9">
      <w:pPr>
        <w:ind w:left="4320"/>
        <w:rPr>
          <w:rFonts w:ascii="Times New Roman" w:hAnsi="Times New Roman"/>
          <w:b/>
          <w:szCs w:val="24"/>
        </w:rPr>
      </w:pPr>
      <w:r w:rsidRPr="00490536">
        <w:rPr>
          <w:rFonts w:ascii="Times New Roman" w:hAnsi="Times New Roman"/>
          <w:b/>
          <w:szCs w:val="24"/>
        </w:rPr>
        <w:t>RE: Same Sex Partners and Medicaid Liens, Transfers of Assets, and Estate Recovery</w:t>
      </w:r>
    </w:p>
    <w:p w:rsidR="00137A78" w:rsidRDefault="00137A78" w:rsidP="00393167">
      <w:pPr>
        <w:rPr>
          <w:rFonts w:ascii="Times New Roman" w:hAnsi="Times New Roman"/>
          <w:szCs w:val="24"/>
        </w:rPr>
      </w:pPr>
    </w:p>
    <w:p w:rsidR="00393167" w:rsidRDefault="00393167" w:rsidP="00393167">
      <w:pPr>
        <w:rPr>
          <w:rFonts w:ascii="Times New Roman" w:hAnsi="Times New Roman"/>
          <w:szCs w:val="24"/>
        </w:rPr>
      </w:pPr>
      <w:r w:rsidRPr="00490536">
        <w:rPr>
          <w:rFonts w:ascii="Times New Roman" w:hAnsi="Times New Roman"/>
          <w:szCs w:val="24"/>
        </w:rPr>
        <w:t>Dear State Medicaid Director:</w:t>
      </w:r>
    </w:p>
    <w:p w:rsidR="00C17BF1" w:rsidRPr="00490536" w:rsidRDefault="00C17BF1" w:rsidP="00393167">
      <w:pPr>
        <w:rPr>
          <w:rFonts w:ascii="Times New Roman" w:hAnsi="Times New Roman"/>
          <w:szCs w:val="24"/>
        </w:rPr>
      </w:pPr>
    </w:p>
    <w:p w:rsidR="00393167" w:rsidRPr="00490536" w:rsidRDefault="00393167" w:rsidP="00393167">
      <w:pPr>
        <w:rPr>
          <w:rFonts w:ascii="Times New Roman" w:hAnsi="Times New Roman"/>
          <w:szCs w:val="24"/>
        </w:rPr>
      </w:pPr>
      <w:r w:rsidRPr="00490536">
        <w:rPr>
          <w:rFonts w:ascii="Times New Roman" w:hAnsi="Times New Roman"/>
          <w:szCs w:val="24"/>
        </w:rPr>
        <w:t xml:space="preserve">The purpose of this letter is to </w:t>
      </w:r>
      <w:r w:rsidR="0002366A">
        <w:rPr>
          <w:rFonts w:ascii="Times New Roman" w:hAnsi="Times New Roman"/>
          <w:szCs w:val="24"/>
        </w:rPr>
        <w:t>en</w:t>
      </w:r>
      <w:r w:rsidR="00E075F7">
        <w:rPr>
          <w:rFonts w:ascii="Times New Roman" w:hAnsi="Times New Roman"/>
          <w:szCs w:val="24"/>
        </w:rPr>
        <w:t xml:space="preserve">sure that </w:t>
      </w:r>
      <w:r w:rsidRPr="00490536">
        <w:rPr>
          <w:rFonts w:ascii="Times New Roman" w:hAnsi="Times New Roman"/>
          <w:szCs w:val="24"/>
        </w:rPr>
        <w:t xml:space="preserve">States </w:t>
      </w:r>
      <w:r w:rsidR="00E075F7">
        <w:rPr>
          <w:rFonts w:ascii="Times New Roman" w:hAnsi="Times New Roman"/>
          <w:szCs w:val="24"/>
        </w:rPr>
        <w:t xml:space="preserve">are informed </w:t>
      </w:r>
      <w:r w:rsidRPr="00490536">
        <w:rPr>
          <w:rFonts w:ascii="Times New Roman" w:hAnsi="Times New Roman"/>
          <w:szCs w:val="24"/>
        </w:rPr>
        <w:t xml:space="preserve">of </w:t>
      </w:r>
      <w:r w:rsidR="00864C0C">
        <w:rPr>
          <w:rFonts w:ascii="Times New Roman" w:hAnsi="Times New Roman"/>
          <w:szCs w:val="24"/>
        </w:rPr>
        <w:t xml:space="preserve">the </w:t>
      </w:r>
      <w:r w:rsidRPr="00490536">
        <w:rPr>
          <w:rFonts w:ascii="Times New Roman" w:hAnsi="Times New Roman"/>
          <w:szCs w:val="24"/>
        </w:rPr>
        <w:t xml:space="preserve">existing </w:t>
      </w:r>
      <w:r w:rsidR="00864C0C">
        <w:rPr>
          <w:rFonts w:ascii="Times New Roman" w:hAnsi="Times New Roman"/>
          <w:szCs w:val="24"/>
        </w:rPr>
        <w:t xml:space="preserve">options </w:t>
      </w:r>
      <w:r w:rsidRPr="00490536">
        <w:rPr>
          <w:rFonts w:ascii="Times New Roman" w:hAnsi="Times New Roman"/>
          <w:szCs w:val="24"/>
        </w:rPr>
        <w:t>and flexibilit</w:t>
      </w:r>
      <w:r w:rsidR="00864C0C">
        <w:rPr>
          <w:rFonts w:ascii="Times New Roman" w:hAnsi="Times New Roman"/>
          <w:szCs w:val="24"/>
        </w:rPr>
        <w:t>ies</w:t>
      </w:r>
      <w:r w:rsidRPr="00490536">
        <w:rPr>
          <w:rFonts w:ascii="Times New Roman" w:hAnsi="Times New Roman"/>
          <w:szCs w:val="24"/>
        </w:rPr>
        <w:t xml:space="preserve"> regarding the application of Medicaid liens, transfer of assets, and estate recovery. </w:t>
      </w:r>
      <w:r w:rsidR="00E749A4">
        <w:rPr>
          <w:rFonts w:ascii="Times New Roman" w:hAnsi="Times New Roman"/>
          <w:szCs w:val="24"/>
        </w:rPr>
        <w:t xml:space="preserve"> </w:t>
      </w:r>
      <w:r w:rsidRPr="00490536">
        <w:rPr>
          <w:rFonts w:ascii="Times New Roman" w:hAnsi="Times New Roman"/>
          <w:szCs w:val="24"/>
        </w:rPr>
        <w:t>Specifically, this letter is intended to a</w:t>
      </w:r>
      <w:r>
        <w:rPr>
          <w:rFonts w:ascii="Times New Roman" w:hAnsi="Times New Roman"/>
          <w:szCs w:val="24"/>
        </w:rPr>
        <w:t>dvise</w:t>
      </w:r>
      <w:r w:rsidRPr="00490536">
        <w:rPr>
          <w:rFonts w:ascii="Times New Roman" w:hAnsi="Times New Roman"/>
          <w:szCs w:val="24"/>
        </w:rPr>
        <w:t xml:space="preserve"> States of existing choices and options regarding spousal and domestic partner protections </w:t>
      </w:r>
      <w:r w:rsidR="00035D6C" w:rsidRPr="0002366A">
        <w:rPr>
          <w:rFonts w:ascii="Times New Roman" w:hAnsi="Times New Roman"/>
          <w:color w:val="000000" w:themeColor="text1"/>
          <w:szCs w:val="24"/>
        </w:rPr>
        <w:t>related to</w:t>
      </w:r>
      <w:r w:rsidR="00035D6C">
        <w:rPr>
          <w:rFonts w:ascii="Times New Roman" w:hAnsi="Times New Roman"/>
          <w:szCs w:val="24"/>
        </w:rPr>
        <w:t xml:space="preserve"> </w:t>
      </w:r>
      <w:r w:rsidRPr="00490536">
        <w:rPr>
          <w:rFonts w:ascii="Times New Roman" w:hAnsi="Times New Roman"/>
          <w:szCs w:val="24"/>
        </w:rPr>
        <w:t>liens, transfer of assets, and estate recovery</w:t>
      </w:r>
      <w:r w:rsidR="00035D6C">
        <w:rPr>
          <w:rFonts w:ascii="Times New Roman" w:hAnsi="Times New Roman"/>
          <w:szCs w:val="24"/>
        </w:rPr>
        <w:t>.</w:t>
      </w:r>
      <w:r w:rsidRPr="00490536">
        <w:rPr>
          <w:rFonts w:ascii="Times New Roman" w:hAnsi="Times New Roman"/>
          <w:szCs w:val="24"/>
        </w:rPr>
        <w:t xml:space="preserve"> </w:t>
      </w:r>
    </w:p>
    <w:p w:rsidR="00C17BF1" w:rsidRDefault="00C17BF1" w:rsidP="00393167">
      <w:pPr>
        <w:rPr>
          <w:rFonts w:ascii="Times New Roman" w:hAnsi="Times New Roman"/>
          <w:b/>
          <w:szCs w:val="24"/>
        </w:rPr>
      </w:pPr>
    </w:p>
    <w:p w:rsidR="00393167" w:rsidRPr="00490536" w:rsidRDefault="00393167" w:rsidP="00393167">
      <w:pPr>
        <w:rPr>
          <w:rFonts w:ascii="Times New Roman" w:hAnsi="Times New Roman"/>
          <w:b/>
          <w:szCs w:val="24"/>
        </w:rPr>
      </w:pPr>
      <w:r w:rsidRPr="00490536">
        <w:rPr>
          <w:rFonts w:ascii="Times New Roman" w:hAnsi="Times New Roman"/>
          <w:b/>
          <w:szCs w:val="24"/>
        </w:rPr>
        <w:t>Liens:</w:t>
      </w:r>
    </w:p>
    <w:p w:rsidR="00393167" w:rsidRPr="0002366A" w:rsidRDefault="00393167" w:rsidP="00393167">
      <w:pPr>
        <w:rPr>
          <w:rFonts w:ascii="Times New Roman" w:hAnsi="Times New Roman"/>
          <w:color w:val="000000" w:themeColor="text1"/>
          <w:szCs w:val="24"/>
        </w:rPr>
      </w:pPr>
      <w:r w:rsidRPr="00490536">
        <w:rPr>
          <w:rFonts w:ascii="Times New Roman" w:hAnsi="Times New Roman"/>
          <w:szCs w:val="24"/>
        </w:rPr>
        <w:t>Section 1917(a)</w:t>
      </w:r>
      <w:r w:rsidR="00035D6C">
        <w:rPr>
          <w:rFonts w:ascii="Times New Roman" w:hAnsi="Times New Roman"/>
          <w:szCs w:val="24"/>
        </w:rPr>
        <w:t xml:space="preserve"> </w:t>
      </w:r>
      <w:r w:rsidRPr="00490536">
        <w:rPr>
          <w:rFonts w:ascii="Times New Roman" w:hAnsi="Times New Roman"/>
          <w:szCs w:val="24"/>
        </w:rPr>
        <w:t xml:space="preserve">of the Social Security Act (the Act) allows, but does not require, States to impose liens on the property of a Medicaid </w:t>
      </w:r>
      <w:r w:rsidR="0064072F">
        <w:rPr>
          <w:rFonts w:ascii="Times New Roman" w:hAnsi="Times New Roman"/>
          <w:szCs w:val="24"/>
        </w:rPr>
        <w:t xml:space="preserve">beneficiary </w:t>
      </w:r>
      <w:r w:rsidR="00035D6C" w:rsidRPr="0002366A">
        <w:rPr>
          <w:rFonts w:ascii="Times New Roman" w:hAnsi="Times New Roman"/>
          <w:color w:val="000000" w:themeColor="text1"/>
          <w:szCs w:val="24"/>
        </w:rPr>
        <w:t>under certain circumstances</w:t>
      </w:r>
      <w:r w:rsidRPr="0002366A">
        <w:rPr>
          <w:rFonts w:ascii="Times New Roman" w:hAnsi="Times New Roman"/>
          <w:color w:val="000000" w:themeColor="text1"/>
          <w:szCs w:val="24"/>
        </w:rPr>
        <w:t xml:space="preserve">. </w:t>
      </w:r>
    </w:p>
    <w:p w:rsidR="004B1283" w:rsidRPr="00490536" w:rsidRDefault="004B1283" w:rsidP="00393167">
      <w:pPr>
        <w:rPr>
          <w:rFonts w:ascii="Times New Roman" w:hAnsi="Times New Roman"/>
          <w:szCs w:val="24"/>
        </w:rPr>
      </w:pPr>
    </w:p>
    <w:p w:rsidR="00864C0C" w:rsidRDefault="00393167" w:rsidP="00393167">
      <w:pPr>
        <w:rPr>
          <w:rFonts w:ascii="Times New Roman" w:hAnsi="Times New Roman"/>
          <w:szCs w:val="24"/>
        </w:rPr>
      </w:pPr>
      <w:r w:rsidRPr="00490536">
        <w:rPr>
          <w:rFonts w:ascii="Times New Roman" w:hAnsi="Times New Roman"/>
          <w:szCs w:val="24"/>
        </w:rPr>
        <w:t>More specifically, liens are permitted in two instances prior to</w:t>
      </w:r>
      <w:r w:rsidR="004B1283">
        <w:rPr>
          <w:rFonts w:ascii="Times New Roman" w:hAnsi="Times New Roman"/>
          <w:szCs w:val="24"/>
        </w:rPr>
        <w:t xml:space="preserve"> </w:t>
      </w:r>
      <w:r w:rsidR="0002366A">
        <w:rPr>
          <w:rFonts w:ascii="Times New Roman" w:hAnsi="Times New Roman"/>
          <w:szCs w:val="24"/>
        </w:rPr>
        <w:t xml:space="preserve">a </w:t>
      </w:r>
      <w:r w:rsidR="0064072F">
        <w:rPr>
          <w:rFonts w:ascii="Times New Roman" w:hAnsi="Times New Roman"/>
          <w:szCs w:val="24"/>
        </w:rPr>
        <w:t>beneficiar</w:t>
      </w:r>
      <w:r w:rsidR="0002366A">
        <w:rPr>
          <w:rFonts w:ascii="Times New Roman" w:hAnsi="Times New Roman"/>
          <w:szCs w:val="24"/>
        </w:rPr>
        <w:t>y</w:t>
      </w:r>
      <w:r w:rsidR="00D468A6">
        <w:rPr>
          <w:rFonts w:ascii="Times New Roman" w:hAnsi="Times New Roman"/>
          <w:szCs w:val="24"/>
        </w:rPr>
        <w:t>’s</w:t>
      </w:r>
      <w:r w:rsidR="004B1283">
        <w:rPr>
          <w:rFonts w:ascii="Times New Roman" w:hAnsi="Times New Roman"/>
          <w:szCs w:val="24"/>
        </w:rPr>
        <w:t xml:space="preserve"> </w:t>
      </w:r>
      <w:r w:rsidRPr="00490536">
        <w:rPr>
          <w:rFonts w:ascii="Times New Roman" w:hAnsi="Times New Roman"/>
          <w:szCs w:val="24"/>
        </w:rPr>
        <w:t>death:</w:t>
      </w:r>
      <w:r w:rsidR="00033011">
        <w:rPr>
          <w:rFonts w:ascii="Times New Roman" w:hAnsi="Times New Roman"/>
          <w:szCs w:val="24"/>
        </w:rPr>
        <w:t xml:space="preserve"> </w:t>
      </w:r>
      <w:r w:rsidRPr="00490536">
        <w:rPr>
          <w:rFonts w:ascii="Times New Roman" w:hAnsi="Times New Roman"/>
          <w:szCs w:val="24"/>
        </w:rPr>
        <w:t xml:space="preserve"> </w:t>
      </w:r>
    </w:p>
    <w:p w:rsidR="00E03AE0" w:rsidRDefault="006F4D84">
      <w:pPr>
        <w:pStyle w:val="ListParagraph"/>
        <w:numPr>
          <w:ilvl w:val="0"/>
          <w:numId w:val="9"/>
        </w:numPr>
        <w:rPr>
          <w:rFonts w:ascii="Times New Roman" w:hAnsi="Times New Roman"/>
          <w:szCs w:val="24"/>
        </w:rPr>
      </w:pPr>
      <w:r w:rsidRPr="006F4D84">
        <w:rPr>
          <w:rFonts w:ascii="Times New Roman" w:hAnsi="Times New Roman"/>
          <w:szCs w:val="24"/>
        </w:rPr>
        <w:t xml:space="preserve">when there has been a court judgment that benefits were incorrectly paid; or </w:t>
      </w:r>
    </w:p>
    <w:p w:rsidR="00E03AE0" w:rsidRDefault="006F4D84">
      <w:pPr>
        <w:pStyle w:val="ListParagraph"/>
        <w:numPr>
          <w:ilvl w:val="0"/>
          <w:numId w:val="9"/>
        </w:numPr>
        <w:rPr>
          <w:rFonts w:ascii="Times New Roman" w:hAnsi="Times New Roman"/>
          <w:szCs w:val="24"/>
        </w:rPr>
      </w:pPr>
      <w:r w:rsidRPr="006F4D84">
        <w:rPr>
          <w:rFonts w:ascii="Times New Roman" w:hAnsi="Times New Roman"/>
          <w:szCs w:val="24"/>
        </w:rPr>
        <w:t xml:space="preserve">when the lien is imposed against the real property of an individual </w:t>
      </w:r>
    </w:p>
    <w:p w:rsidR="00E03AE0" w:rsidRDefault="006F4D84">
      <w:pPr>
        <w:pStyle w:val="ListParagraph"/>
        <w:numPr>
          <w:ilvl w:val="1"/>
          <w:numId w:val="9"/>
        </w:numPr>
        <w:rPr>
          <w:rFonts w:ascii="Times New Roman" w:hAnsi="Times New Roman"/>
          <w:szCs w:val="24"/>
        </w:rPr>
      </w:pPr>
      <w:r w:rsidRPr="006F4D84">
        <w:rPr>
          <w:rFonts w:ascii="Times New Roman" w:hAnsi="Times New Roman"/>
          <w:szCs w:val="24"/>
        </w:rPr>
        <w:t xml:space="preserve">who is an inpatient in a nursing facility, intermediate care facility for the mentally retarded, or other medical institution, if the individual is required to spend for medical care all but a minimal amount of his or her income, and </w:t>
      </w:r>
    </w:p>
    <w:p w:rsidR="00E03AE0" w:rsidRDefault="00864C0C">
      <w:pPr>
        <w:pStyle w:val="ListParagraph"/>
        <w:numPr>
          <w:ilvl w:val="1"/>
          <w:numId w:val="9"/>
        </w:numPr>
        <w:rPr>
          <w:rFonts w:ascii="Times New Roman" w:hAnsi="Times New Roman"/>
          <w:szCs w:val="24"/>
        </w:rPr>
      </w:pPr>
      <w:r>
        <w:rPr>
          <w:rFonts w:ascii="Times New Roman" w:hAnsi="Times New Roman"/>
          <w:szCs w:val="24"/>
        </w:rPr>
        <w:t xml:space="preserve">with whom </w:t>
      </w:r>
      <w:r w:rsidR="006F4D84" w:rsidRPr="006F4D84">
        <w:rPr>
          <w:rFonts w:ascii="Times New Roman" w:hAnsi="Times New Roman"/>
          <w:szCs w:val="24"/>
        </w:rPr>
        <w:t xml:space="preserve">the State determines that the individual cannot reasonably be expected to be discharged from the institution and return home.  </w:t>
      </w:r>
    </w:p>
    <w:p w:rsidR="00E03AE0" w:rsidRDefault="006F4D84">
      <w:pPr>
        <w:pStyle w:val="ListParagraph"/>
        <w:ind w:left="0"/>
        <w:rPr>
          <w:rFonts w:ascii="Times New Roman" w:hAnsi="Times New Roman"/>
          <w:szCs w:val="24"/>
        </w:rPr>
      </w:pPr>
      <w:r w:rsidRPr="006F4D84">
        <w:rPr>
          <w:rFonts w:ascii="Times New Roman" w:hAnsi="Times New Roman"/>
          <w:szCs w:val="24"/>
        </w:rPr>
        <w:t>State plans must specify the medical assistance services that are subject to recovery.</w:t>
      </w:r>
    </w:p>
    <w:p w:rsidR="00E749A4" w:rsidRPr="00490536" w:rsidRDefault="00E749A4" w:rsidP="00393167">
      <w:pPr>
        <w:rPr>
          <w:rFonts w:ascii="Times New Roman" w:hAnsi="Times New Roman"/>
          <w:szCs w:val="24"/>
        </w:rPr>
      </w:pPr>
    </w:p>
    <w:p w:rsidR="000371F9" w:rsidRDefault="00864C0C" w:rsidP="00393167">
      <w:pPr>
        <w:rPr>
          <w:rFonts w:ascii="Times New Roman" w:hAnsi="Times New Roman"/>
          <w:szCs w:val="24"/>
        </w:rPr>
      </w:pPr>
      <w:r>
        <w:rPr>
          <w:rFonts w:ascii="Times New Roman" w:hAnsi="Times New Roman"/>
          <w:szCs w:val="24"/>
        </w:rPr>
        <w:t>S</w:t>
      </w:r>
      <w:r w:rsidR="00393167">
        <w:rPr>
          <w:rFonts w:ascii="Times New Roman" w:hAnsi="Times New Roman"/>
          <w:szCs w:val="24"/>
        </w:rPr>
        <w:t xml:space="preserve">ection </w:t>
      </w:r>
      <w:r w:rsidR="00393167" w:rsidRPr="00490536">
        <w:rPr>
          <w:rFonts w:ascii="Times New Roman" w:hAnsi="Times New Roman"/>
          <w:szCs w:val="24"/>
        </w:rPr>
        <w:t>1917(a)(2)</w:t>
      </w:r>
      <w:r>
        <w:rPr>
          <w:rFonts w:ascii="Times New Roman" w:hAnsi="Times New Roman"/>
          <w:szCs w:val="24"/>
        </w:rPr>
        <w:t xml:space="preserve"> of the Act</w:t>
      </w:r>
      <w:r w:rsidR="00393167" w:rsidRPr="00490536">
        <w:rPr>
          <w:rFonts w:ascii="Times New Roman" w:hAnsi="Times New Roman"/>
          <w:szCs w:val="24"/>
        </w:rPr>
        <w:t xml:space="preserve"> provides </w:t>
      </w:r>
      <w:r w:rsidR="0064072F">
        <w:rPr>
          <w:rFonts w:ascii="Times New Roman" w:hAnsi="Times New Roman"/>
          <w:szCs w:val="24"/>
        </w:rPr>
        <w:t xml:space="preserve">important beneficiary </w:t>
      </w:r>
      <w:r w:rsidR="00393167" w:rsidRPr="00490536">
        <w:rPr>
          <w:rFonts w:ascii="Times New Roman" w:hAnsi="Times New Roman"/>
          <w:szCs w:val="24"/>
        </w:rPr>
        <w:t>protections from liens.</w:t>
      </w:r>
      <w:r w:rsidR="00393167">
        <w:rPr>
          <w:rFonts w:ascii="Times New Roman" w:hAnsi="Times New Roman"/>
          <w:szCs w:val="24"/>
        </w:rPr>
        <w:t xml:space="preserve"> </w:t>
      </w:r>
      <w:r w:rsidR="00393167" w:rsidRPr="00490536">
        <w:rPr>
          <w:rFonts w:ascii="Times New Roman" w:hAnsi="Times New Roman"/>
          <w:szCs w:val="24"/>
        </w:rPr>
        <w:t xml:space="preserve"> </w:t>
      </w:r>
      <w:r w:rsidR="00183EDF">
        <w:rPr>
          <w:rFonts w:ascii="Times New Roman" w:hAnsi="Times New Roman"/>
          <w:szCs w:val="24"/>
        </w:rPr>
        <w:t>L</w:t>
      </w:r>
      <w:r w:rsidR="00393167" w:rsidRPr="00490536">
        <w:rPr>
          <w:rFonts w:ascii="Times New Roman" w:hAnsi="Times New Roman"/>
          <w:szCs w:val="24"/>
        </w:rPr>
        <w:t xml:space="preserve">iens </w:t>
      </w:r>
      <w:r w:rsidR="00183EDF">
        <w:rPr>
          <w:rFonts w:ascii="Times New Roman" w:hAnsi="Times New Roman"/>
          <w:szCs w:val="24"/>
        </w:rPr>
        <w:t xml:space="preserve">may not be imposed </w:t>
      </w:r>
      <w:r w:rsidR="00393167" w:rsidRPr="00490536">
        <w:rPr>
          <w:rFonts w:ascii="Times New Roman" w:hAnsi="Times New Roman"/>
          <w:szCs w:val="24"/>
        </w:rPr>
        <w:t xml:space="preserve">in instances where certain </w:t>
      </w:r>
      <w:r w:rsidR="00183EDF">
        <w:rPr>
          <w:rFonts w:ascii="Times New Roman" w:hAnsi="Times New Roman"/>
          <w:szCs w:val="24"/>
        </w:rPr>
        <w:t>people</w:t>
      </w:r>
      <w:r w:rsidR="00183EDF" w:rsidRPr="00490536">
        <w:rPr>
          <w:rFonts w:ascii="Times New Roman" w:hAnsi="Times New Roman"/>
          <w:szCs w:val="24"/>
        </w:rPr>
        <w:t xml:space="preserve"> </w:t>
      </w:r>
      <w:r w:rsidR="00393167" w:rsidRPr="00490536">
        <w:rPr>
          <w:rFonts w:ascii="Times New Roman" w:hAnsi="Times New Roman"/>
          <w:szCs w:val="24"/>
        </w:rPr>
        <w:t xml:space="preserve">are lawfully residing in the home. </w:t>
      </w:r>
      <w:r w:rsidR="00393167">
        <w:rPr>
          <w:rFonts w:ascii="Times New Roman" w:hAnsi="Times New Roman"/>
          <w:szCs w:val="24"/>
        </w:rPr>
        <w:t xml:space="preserve"> </w:t>
      </w:r>
      <w:r w:rsidR="00393167" w:rsidRPr="00490536">
        <w:rPr>
          <w:rFonts w:ascii="Times New Roman" w:hAnsi="Times New Roman"/>
          <w:szCs w:val="24"/>
        </w:rPr>
        <w:t xml:space="preserve">These individuals include: </w:t>
      </w:r>
      <w:r w:rsidR="00033011">
        <w:rPr>
          <w:rFonts w:ascii="Times New Roman" w:hAnsi="Times New Roman"/>
          <w:szCs w:val="24"/>
        </w:rPr>
        <w:t xml:space="preserve"> </w:t>
      </w:r>
    </w:p>
    <w:p w:rsidR="00C22EB7" w:rsidRDefault="00CB2C1A">
      <w:pPr>
        <w:pStyle w:val="ListParagraph"/>
        <w:numPr>
          <w:ilvl w:val="0"/>
          <w:numId w:val="10"/>
        </w:numPr>
        <w:rPr>
          <w:rFonts w:ascii="Times New Roman" w:hAnsi="Times New Roman"/>
          <w:szCs w:val="24"/>
        </w:rPr>
      </w:pPr>
      <w:r>
        <w:rPr>
          <w:rFonts w:ascii="Times New Roman" w:hAnsi="Times New Roman"/>
          <w:szCs w:val="24"/>
        </w:rPr>
        <w:t xml:space="preserve">a spouse </w:t>
      </w:r>
      <w:r w:rsidR="000371F9">
        <w:rPr>
          <w:rFonts w:ascii="Times New Roman" w:hAnsi="Times New Roman"/>
          <w:szCs w:val="24"/>
        </w:rPr>
        <w:t>(as defined in the Defense of Marriage Act of 1996 [DOMA] Pub. L. No. 104-</w:t>
      </w:r>
      <w:r w:rsidR="004901C5">
        <w:rPr>
          <w:rFonts w:ascii="Times New Roman" w:hAnsi="Times New Roman"/>
          <w:szCs w:val="24"/>
        </w:rPr>
        <w:t>199)</w:t>
      </w:r>
      <w:r w:rsidR="00CD5FC6" w:rsidRPr="00CD5FC6">
        <w:rPr>
          <w:rFonts w:ascii="Times New Roman" w:hAnsi="Times New Roman"/>
          <w:szCs w:val="24"/>
        </w:rPr>
        <w:t xml:space="preserve">, </w:t>
      </w:r>
    </w:p>
    <w:p w:rsidR="00C22EB7" w:rsidRDefault="00CD5FC6">
      <w:pPr>
        <w:pStyle w:val="ListParagraph"/>
        <w:numPr>
          <w:ilvl w:val="0"/>
          <w:numId w:val="10"/>
        </w:numPr>
        <w:rPr>
          <w:rFonts w:ascii="Times New Roman" w:hAnsi="Times New Roman"/>
          <w:szCs w:val="24"/>
        </w:rPr>
      </w:pPr>
      <w:r w:rsidRPr="00CD5FC6">
        <w:rPr>
          <w:rFonts w:ascii="Times New Roman" w:hAnsi="Times New Roman"/>
          <w:szCs w:val="24"/>
        </w:rPr>
        <w:t xml:space="preserve">a child under </w:t>
      </w:r>
      <w:r w:rsidRPr="00CD5FC6">
        <w:rPr>
          <w:rFonts w:ascii="Times New Roman" w:hAnsi="Times New Roman"/>
          <w:color w:val="000000" w:themeColor="text1"/>
          <w:szCs w:val="24"/>
        </w:rPr>
        <w:t>age</w:t>
      </w:r>
      <w:r w:rsidRPr="00CD5FC6">
        <w:rPr>
          <w:rFonts w:ascii="Times New Roman" w:hAnsi="Times New Roman"/>
          <w:szCs w:val="24"/>
        </w:rPr>
        <w:t xml:space="preserve"> 21, </w:t>
      </w:r>
    </w:p>
    <w:p w:rsidR="00C22EB7" w:rsidRDefault="00CD5FC6">
      <w:pPr>
        <w:pStyle w:val="ListParagraph"/>
        <w:numPr>
          <w:ilvl w:val="0"/>
          <w:numId w:val="10"/>
        </w:numPr>
        <w:rPr>
          <w:rFonts w:ascii="Times New Roman" w:hAnsi="Times New Roman"/>
          <w:szCs w:val="24"/>
        </w:rPr>
      </w:pPr>
      <w:r w:rsidRPr="00CD5FC6">
        <w:rPr>
          <w:rFonts w:ascii="Times New Roman" w:hAnsi="Times New Roman"/>
          <w:szCs w:val="24"/>
        </w:rPr>
        <w:t xml:space="preserve">children who are blind or totally/permanently disabled, and </w:t>
      </w:r>
    </w:p>
    <w:p w:rsidR="00A30D47" w:rsidRDefault="00CD5FC6">
      <w:pPr>
        <w:pStyle w:val="ListParagraph"/>
        <w:numPr>
          <w:ilvl w:val="0"/>
          <w:numId w:val="10"/>
        </w:numPr>
        <w:rPr>
          <w:rFonts w:ascii="Times New Roman" w:hAnsi="Times New Roman"/>
          <w:szCs w:val="24"/>
        </w:rPr>
        <w:sectPr w:rsidR="00A30D47" w:rsidSect="00A30D47">
          <w:headerReference w:type="default" r:id="rId10"/>
          <w:type w:val="continuous"/>
          <w:pgSz w:w="12240" w:h="15840"/>
          <w:pgMar w:top="1440" w:right="1440" w:bottom="1440" w:left="1440" w:header="1440" w:footer="1200" w:gutter="0"/>
          <w:cols w:space="720"/>
          <w:noEndnote/>
          <w:titlePg/>
          <w:docGrid w:linePitch="326"/>
        </w:sectPr>
      </w:pPr>
      <w:r w:rsidRPr="00CD5FC6">
        <w:rPr>
          <w:rFonts w:ascii="Times New Roman" w:hAnsi="Times New Roman"/>
          <w:szCs w:val="24"/>
        </w:rPr>
        <w:t xml:space="preserve">siblings residing in the beneficiary’s home </w:t>
      </w:r>
      <w:r w:rsidRPr="00CD5FC6">
        <w:rPr>
          <w:rFonts w:ascii="Times New Roman" w:hAnsi="Times New Roman"/>
          <w:color w:val="000000" w:themeColor="text1"/>
          <w:szCs w:val="24"/>
        </w:rPr>
        <w:t xml:space="preserve">who have an equity interest in such home and </w:t>
      </w:r>
      <w:r w:rsidR="00CB2C1A">
        <w:rPr>
          <w:rFonts w:ascii="Times New Roman" w:hAnsi="Times New Roman"/>
          <w:color w:val="000000" w:themeColor="text1"/>
          <w:szCs w:val="24"/>
        </w:rPr>
        <w:t>were</w:t>
      </w:r>
      <w:r w:rsidRPr="00CD5FC6">
        <w:rPr>
          <w:rFonts w:ascii="Times New Roman" w:hAnsi="Times New Roman"/>
          <w:color w:val="000000" w:themeColor="text1"/>
          <w:szCs w:val="24"/>
        </w:rPr>
        <w:t xml:space="preserve"> residing in the home </w:t>
      </w:r>
      <w:r w:rsidRPr="00CD5FC6">
        <w:rPr>
          <w:rFonts w:ascii="Times New Roman" w:hAnsi="Times New Roman"/>
          <w:szCs w:val="24"/>
        </w:rPr>
        <w:t>for at least 1 year immediately before the date the individual was admit</w:t>
      </w:r>
      <w:r w:rsidR="00A30D47">
        <w:rPr>
          <w:rFonts w:ascii="Times New Roman" w:hAnsi="Times New Roman"/>
          <w:szCs w:val="24"/>
        </w:rPr>
        <w:t>ted to the medical institution</w:t>
      </w:r>
      <w:r w:rsidR="00CE34C1">
        <w:rPr>
          <w:rFonts w:ascii="Times New Roman" w:hAnsi="Times New Roman"/>
          <w:szCs w:val="24"/>
        </w:rPr>
        <w:t>.</w:t>
      </w:r>
    </w:p>
    <w:p w:rsidR="00C22EB7" w:rsidRPr="00A30D47" w:rsidRDefault="00C22EB7" w:rsidP="00A30D47">
      <w:pPr>
        <w:rPr>
          <w:rFonts w:ascii="Times New Roman" w:hAnsi="Times New Roman"/>
          <w:szCs w:val="24"/>
        </w:rPr>
      </w:pPr>
    </w:p>
    <w:p w:rsidR="00393167" w:rsidRDefault="009E7606" w:rsidP="00393167">
      <w:pPr>
        <w:rPr>
          <w:rFonts w:ascii="Times New Roman" w:hAnsi="Times New Roman"/>
          <w:szCs w:val="24"/>
        </w:rPr>
      </w:pPr>
      <w:r>
        <w:rPr>
          <w:rFonts w:ascii="Times New Roman" w:hAnsi="Times New Roman"/>
          <w:szCs w:val="24"/>
        </w:rPr>
        <w:t>The Federal beneficiary protections listed above represent the minimum level of protection</w:t>
      </w:r>
      <w:r w:rsidR="003B694E">
        <w:rPr>
          <w:rFonts w:ascii="Times New Roman" w:hAnsi="Times New Roman"/>
          <w:szCs w:val="24"/>
        </w:rPr>
        <w:t xml:space="preserve">, in other words, </w:t>
      </w:r>
      <w:r>
        <w:rPr>
          <w:rFonts w:ascii="Times New Roman" w:hAnsi="Times New Roman"/>
          <w:szCs w:val="24"/>
        </w:rPr>
        <w:t>the “floor”</w:t>
      </w:r>
      <w:r w:rsidR="003B694E">
        <w:rPr>
          <w:rFonts w:ascii="Times New Roman" w:hAnsi="Times New Roman"/>
          <w:szCs w:val="24"/>
        </w:rPr>
        <w:t xml:space="preserve"> for protection from imposition of liens, </w:t>
      </w:r>
      <w:r>
        <w:rPr>
          <w:rFonts w:ascii="Times New Roman" w:hAnsi="Times New Roman"/>
          <w:szCs w:val="24"/>
        </w:rPr>
        <w:t>that must be implemented by the State</w:t>
      </w:r>
      <w:r w:rsidR="003B694E">
        <w:rPr>
          <w:rFonts w:ascii="Times New Roman" w:hAnsi="Times New Roman"/>
          <w:szCs w:val="24"/>
        </w:rPr>
        <w:t xml:space="preserve">.  </w:t>
      </w:r>
      <w:r w:rsidR="00393167" w:rsidRPr="00490536">
        <w:rPr>
          <w:rFonts w:ascii="Times New Roman" w:hAnsi="Times New Roman"/>
          <w:szCs w:val="24"/>
        </w:rPr>
        <w:t xml:space="preserve">States have </w:t>
      </w:r>
      <w:r w:rsidR="00183EDF">
        <w:rPr>
          <w:rFonts w:ascii="Times New Roman" w:hAnsi="Times New Roman"/>
          <w:szCs w:val="24"/>
        </w:rPr>
        <w:t>considerable</w:t>
      </w:r>
      <w:r w:rsidR="00183EDF" w:rsidRPr="00490536">
        <w:rPr>
          <w:rFonts w:ascii="Times New Roman" w:hAnsi="Times New Roman"/>
          <w:szCs w:val="24"/>
        </w:rPr>
        <w:t xml:space="preserve"> </w:t>
      </w:r>
      <w:r w:rsidR="00393167" w:rsidRPr="00490536">
        <w:rPr>
          <w:rFonts w:ascii="Times New Roman" w:hAnsi="Times New Roman"/>
          <w:szCs w:val="24"/>
        </w:rPr>
        <w:t xml:space="preserve">flexibility </w:t>
      </w:r>
      <w:r w:rsidR="003B694E">
        <w:rPr>
          <w:rFonts w:ascii="Times New Roman" w:hAnsi="Times New Roman"/>
          <w:szCs w:val="24"/>
        </w:rPr>
        <w:t xml:space="preserve">to determine the “ceiling” for such protection and </w:t>
      </w:r>
      <w:r w:rsidR="00393167" w:rsidRPr="00490536">
        <w:rPr>
          <w:rFonts w:ascii="Times New Roman" w:hAnsi="Times New Roman"/>
          <w:szCs w:val="24"/>
        </w:rPr>
        <w:t>to develop their own rules regarding when they will impose/pursue liens</w:t>
      </w:r>
      <w:r w:rsidR="0002366A">
        <w:rPr>
          <w:rFonts w:ascii="Times New Roman" w:hAnsi="Times New Roman"/>
          <w:szCs w:val="24"/>
        </w:rPr>
        <w:t>,</w:t>
      </w:r>
      <w:r w:rsidR="00183EDF">
        <w:rPr>
          <w:rFonts w:ascii="Times New Roman" w:hAnsi="Times New Roman"/>
          <w:szCs w:val="24"/>
        </w:rPr>
        <w:t xml:space="preserve"> as long as the </w:t>
      </w:r>
      <w:r w:rsidR="00033011">
        <w:rPr>
          <w:rFonts w:ascii="Times New Roman" w:hAnsi="Times New Roman"/>
          <w:szCs w:val="24"/>
        </w:rPr>
        <w:t>F</w:t>
      </w:r>
      <w:r w:rsidR="00183EDF">
        <w:rPr>
          <w:rFonts w:ascii="Times New Roman" w:hAnsi="Times New Roman"/>
          <w:szCs w:val="24"/>
        </w:rPr>
        <w:t>ederal beneficiary protections noted above are fully implemented</w:t>
      </w:r>
      <w:r w:rsidR="00393167" w:rsidRPr="00490536">
        <w:rPr>
          <w:rFonts w:ascii="Times New Roman" w:hAnsi="Times New Roman"/>
          <w:szCs w:val="24"/>
        </w:rPr>
        <w:t>.</w:t>
      </w:r>
      <w:r w:rsidR="00393167">
        <w:rPr>
          <w:rFonts w:ascii="Times New Roman" w:hAnsi="Times New Roman"/>
          <w:szCs w:val="24"/>
        </w:rPr>
        <w:t xml:space="preserve"> </w:t>
      </w:r>
      <w:r w:rsidR="00393167" w:rsidRPr="00490536">
        <w:rPr>
          <w:rFonts w:ascii="Times New Roman" w:hAnsi="Times New Roman"/>
          <w:szCs w:val="24"/>
        </w:rPr>
        <w:t xml:space="preserve"> </w:t>
      </w:r>
      <w:r w:rsidR="00F76B56">
        <w:rPr>
          <w:rFonts w:ascii="Times New Roman" w:hAnsi="Times New Roman"/>
          <w:szCs w:val="24"/>
        </w:rPr>
        <w:t>A</w:t>
      </w:r>
      <w:r w:rsidR="00393167" w:rsidRPr="00490536">
        <w:rPr>
          <w:rFonts w:ascii="Times New Roman" w:hAnsi="Times New Roman"/>
          <w:szCs w:val="24"/>
        </w:rPr>
        <w:t xml:space="preserve"> State can have a policy or rule not to pursue liens when the same-sex spouse or domestic partner of the Medicaid </w:t>
      </w:r>
      <w:r w:rsidR="00183EDF">
        <w:rPr>
          <w:rFonts w:ascii="Times New Roman" w:hAnsi="Times New Roman"/>
          <w:szCs w:val="24"/>
        </w:rPr>
        <w:t>beneficiary</w:t>
      </w:r>
      <w:r w:rsidR="00183EDF" w:rsidRPr="00490536">
        <w:rPr>
          <w:rFonts w:ascii="Times New Roman" w:hAnsi="Times New Roman"/>
          <w:szCs w:val="24"/>
        </w:rPr>
        <w:t xml:space="preserve"> </w:t>
      </w:r>
      <w:r w:rsidR="00393167" w:rsidRPr="00490536">
        <w:rPr>
          <w:rFonts w:ascii="Times New Roman" w:hAnsi="Times New Roman"/>
          <w:szCs w:val="24"/>
        </w:rPr>
        <w:t xml:space="preserve">continues to </w:t>
      </w:r>
      <w:r w:rsidR="009C443A">
        <w:rPr>
          <w:rFonts w:ascii="Times New Roman" w:hAnsi="Times New Roman"/>
          <w:szCs w:val="24"/>
        </w:rPr>
        <w:t xml:space="preserve">lawfully </w:t>
      </w:r>
      <w:r w:rsidR="00393167" w:rsidRPr="00490536">
        <w:rPr>
          <w:rFonts w:ascii="Times New Roman" w:hAnsi="Times New Roman"/>
          <w:szCs w:val="24"/>
        </w:rPr>
        <w:t>reside in the home.</w:t>
      </w:r>
    </w:p>
    <w:p w:rsidR="00E749A4" w:rsidRPr="00490536" w:rsidRDefault="00E749A4" w:rsidP="00393167">
      <w:pPr>
        <w:rPr>
          <w:rFonts w:ascii="Times New Roman" w:hAnsi="Times New Roman"/>
          <w:szCs w:val="24"/>
        </w:rPr>
      </w:pPr>
    </w:p>
    <w:p w:rsidR="00F26C09" w:rsidRDefault="00393167" w:rsidP="00E749A4">
      <w:pPr>
        <w:rPr>
          <w:rFonts w:ascii="Times New Roman" w:hAnsi="Times New Roman"/>
          <w:szCs w:val="24"/>
        </w:rPr>
        <w:sectPr w:rsidR="00F26C09" w:rsidSect="00A30D47">
          <w:headerReference w:type="even" r:id="rId11"/>
          <w:type w:val="continuous"/>
          <w:pgSz w:w="12240" w:h="15840"/>
          <w:pgMar w:top="1440" w:right="1440" w:bottom="1440" w:left="1440" w:header="630" w:footer="1200" w:gutter="0"/>
          <w:cols w:space="720"/>
          <w:noEndnote/>
          <w:titlePg/>
          <w:docGrid w:linePitch="326"/>
        </w:sectPr>
      </w:pPr>
      <w:r w:rsidRPr="00490536">
        <w:rPr>
          <w:rFonts w:ascii="Times New Roman" w:hAnsi="Times New Roman"/>
          <w:szCs w:val="24"/>
        </w:rPr>
        <w:t xml:space="preserve">States </w:t>
      </w:r>
      <w:r w:rsidR="00183EDF">
        <w:rPr>
          <w:rFonts w:ascii="Times New Roman" w:hAnsi="Times New Roman"/>
          <w:szCs w:val="24"/>
        </w:rPr>
        <w:t xml:space="preserve">choosing </w:t>
      </w:r>
      <w:r w:rsidR="003F7A30" w:rsidRPr="0002366A">
        <w:rPr>
          <w:rFonts w:ascii="Times New Roman" w:hAnsi="Times New Roman"/>
          <w:color w:val="000000" w:themeColor="text1"/>
          <w:szCs w:val="24"/>
        </w:rPr>
        <w:t xml:space="preserve">not to pursue liens when the same-sex spouse or domestic partner </w:t>
      </w:r>
      <w:r w:rsidR="004C7147" w:rsidRPr="0002366A">
        <w:rPr>
          <w:rFonts w:ascii="Times New Roman" w:hAnsi="Times New Roman"/>
          <w:color w:val="000000" w:themeColor="text1"/>
          <w:szCs w:val="24"/>
        </w:rPr>
        <w:t xml:space="preserve">beneficiary continues </w:t>
      </w:r>
      <w:r w:rsidR="00183EDF" w:rsidRPr="0002366A">
        <w:rPr>
          <w:rFonts w:ascii="Times New Roman" w:hAnsi="Times New Roman"/>
          <w:color w:val="000000" w:themeColor="text1"/>
          <w:szCs w:val="24"/>
        </w:rPr>
        <w:t xml:space="preserve">to </w:t>
      </w:r>
      <w:r w:rsidR="004C7147" w:rsidRPr="0002366A">
        <w:rPr>
          <w:rFonts w:ascii="Times New Roman" w:hAnsi="Times New Roman"/>
          <w:color w:val="000000" w:themeColor="text1"/>
          <w:szCs w:val="24"/>
        </w:rPr>
        <w:t>lawfully reside in the home</w:t>
      </w:r>
      <w:r w:rsidR="004C7147" w:rsidRPr="00DD02FB">
        <w:rPr>
          <w:rFonts w:ascii="Times New Roman" w:hAnsi="Times New Roman"/>
          <w:color w:val="FF0000"/>
          <w:szCs w:val="24"/>
        </w:rPr>
        <w:t xml:space="preserve"> </w:t>
      </w:r>
      <w:r w:rsidRPr="00490536">
        <w:rPr>
          <w:rFonts w:ascii="Times New Roman" w:hAnsi="Times New Roman"/>
          <w:szCs w:val="24"/>
        </w:rPr>
        <w:t>would exercise their existing discretion in determining the scope or circumstances, either prior to, or when pursuing liens.</w:t>
      </w:r>
      <w:r>
        <w:rPr>
          <w:rFonts w:ascii="Times New Roman" w:hAnsi="Times New Roman"/>
          <w:szCs w:val="24"/>
        </w:rPr>
        <w:t xml:space="preserve"> </w:t>
      </w:r>
      <w:r w:rsidRPr="00490536">
        <w:rPr>
          <w:rFonts w:ascii="Times New Roman" w:hAnsi="Times New Roman"/>
          <w:szCs w:val="24"/>
        </w:rPr>
        <w:t xml:space="preserve"> States </w:t>
      </w:r>
      <w:r>
        <w:rPr>
          <w:rFonts w:ascii="Times New Roman" w:hAnsi="Times New Roman"/>
          <w:szCs w:val="24"/>
        </w:rPr>
        <w:t xml:space="preserve">are encouraged to </w:t>
      </w:r>
      <w:r w:rsidRPr="00490536">
        <w:rPr>
          <w:rFonts w:ascii="Times New Roman" w:hAnsi="Times New Roman"/>
          <w:szCs w:val="24"/>
        </w:rPr>
        <w:t xml:space="preserve">incorporate their criteria for determining when to impose a lien in the Medicaid State </w:t>
      </w:r>
      <w:r w:rsidR="00033011">
        <w:rPr>
          <w:rFonts w:ascii="Times New Roman" w:hAnsi="Times New Roman"/>
          <w:szCs w:val="24"/>
        </w:rPr>
        <w:t>p</w:t>
      </w:r>
      <w:r w:rsidRPr="00490536">
        <w:rPr>
          <w:rFonts w:ascii="Times New Roman" w:hAnsi="Times New Roman"/>
          <w:szCs w:val="24"/>
        </w:rPr>
        <w:t>lan</w:t>
      </w:r>
      <w:r w:rsidR="004E3EE8">
        <w:rPr>
          <w:rFonts w:ascii="Times New Roman" w:hAnsi="Times New Roman"/>
          <w:szCs w:val="24"/>
        </w:rPr>
        <w:t>.</w:t>
      </w:r>
      <w:r w:rsidR="00F26C09">
        <w:rPr>
          <w:rFonts w:ascii="Times New Roman" w:hAnsi="Times New Roman"/>
          <w:szCs w:val="24"/>
        </w:rPr>
        <w:t xml:space="preserve"> </w:t>
      </w:r>
    </w:p>
    <w:p w:rsidR="00F26C09" w:rsidRDefault="00F26C09" w:rsidP="00393167">
      <w:pPr>
        <w:rPr>
          <w:rFonts w:ascii="Times New Roman" w:hAnsi="Times New Roman"/>
          <w:b/>
          <w:szCs w:val="24"/>
        </w:rPr>
      </w:pPr>
    </w:p>
    <w:p w:rsidR="00393167" w:rsidRPr="00490536" w:rsidRDefault="00393167" w:rsidP="00393167">
      <w:pPr>
        <w:rPr>
          <w:rFonts w:ascii="Times New Roman" w:hAnsi="Times New Roman"/>
          <w:b/>
          <w:szCs w:val="24"/>
        </w:rPr>
      </w:pPr>
      <w:r w:rsidRPr="00490536">
        <w:rPr>
          <w:rFonts w:ascii="Times New Roman" w:hAnsi="Times New Roman"/>
          <w:b/>
          <w:szCs w:val="24"/>
        </w:rPr>
        <w:t xml:space="preserve">Transfers of Assets: </w:t>
      </w:r>
    </w:p>
    <w:p w:rsidR="00393167" w:rsidRDefault="00393167" w:rsidP="00393167">
      <w:pPr>
        <w:rPr>
          <w:rFonts w:ascii="Times New Roman" w:hAnsi="Times New Roman"/>
          <w:szCs w:val="24"/>
        </w:rPr>
      </w:pPr>
      <w:r w:rsidRPr="00490536">
        <w:rPr>
          <w:rFonts w:ascii="Times New Roman" w:hAnsi="Times New Roman"/>
          <w:szCs w:val="24"/>
        </w:rPr>
        <w:t xml:space="preserve">States are required to have provisions regarding transfers of assets </w:t>
      </w:r>
      <w:r>
        <w:rPr>
          <w:rFonts w:ascii="Times New Roman" w:hAnsi="Times New Roman"/>
          <w:szCs w:val="24"/>
        </w:rPr>
        <w:t xml:space="preserve">for less than fair market value </w:t>
      </w:r>
      <w:r w:rsidRPr="00490536">
        <w:rPr>
          <w:rFonts w:ascii="Times New Roman" w:hAnsi="Times New Roman"/>
          <w:szCs w:val="24"/>
        </w:rPr>
        <w:t xml:space="preserve">under sections 1902(a)(18) and 1917(c) of the Act. </w:t>
      </w:r>
      <w:r>
        <w:rPr>
          <w:rFonts w:ascii="Times New Roman" w:hAnsi="Times New Roman"/>
          <w:szCs w:val="24"/>
        </w:rPr>
        <w:t xml:space="preserve"> </w:t>
      </w:r>
      <w:r w:rsidRPr="00490536">
        <w:rPr>
          <w:rFonts w:ascii="Times New Roman" w:hAnsi="Times New Roman"/>
          <w:szCs w:val="24"/>
        </w:rPr>
        <w:t>A State Medicaid plan must provide that</w:t>
      </w:r>
      <w:r w:rsidR="0002366A">
        <w:rPr>
          <w:rFonts w:ascii="Times New Roman" w:hAnsi="Times New Roman"/>
          <w:szCs w:val="24"/>
        </w:rPr>
        <w:t>,</w:t>
      </w:r>
      <w:r w:rsidRPr="00490536">
        <w:rPr>
          <w:rFonts w:ascii="Times New Roman" w:hAnsi="Times New Roman"/>
          <w:szCs w:val="24"/>
        </w:rPr>
        <w:t xml:space="preserve"> if an </w:t>
      </w:r>
      <w:r w:rsidRPr="00282815">
        <w:rPr>
          <w:rFonts w:ascii="Times New Roman" w:hAnsi="Times New Roman"/>
          <w:szCs w:val="24"/>
        </w:rPr>
        <w:t>institutionalized individual</w:t>
      </w:r>
      <w:r w:rsidRPr="00490536">
        <w:rPr>
          <w:rFonts w:ascii="Times New Roman" w:hAnsi="Times New Roman"/>
          <w:szCs w:val="24"/>
        </w:rPr>
        <w:t xml:space="preserve"> or the spouse of an individual transfers assets for less than fair market value after the “look-back” date defined in the statute, </w:t>
      </w:r>
      <w:r w:rsidR="0002366A">
        <w:rPr>
          <w:rFonts w:ascii="Times New Roman" w:hAnsi="Times New Roman"/>
          <w:szCs w:val="24"/>
        </w:rPr>
        <w:t xml:space="preserve">the State will calculate and impose </w:t>
      </w:r>
      <w:r w:rsidRPr="00490536">
        <w:rPr>
          <w:rFonts w:ascii="Times New Roman" w:hAnsi="Times New Roman"/>
          <w:szCs w:val="24"/>
        </w:rPr>
        <w:t>a period of ineligibility</w:t>
      </w:r>
      <w:r w:rsidR="00183EDF">
        <w:rPr>
          <w:rFonts w:ascii="Times New Roman" w:hAnsi="Times New Roman"/>
          <w:szCs w:val="24"/>
        </w:rPr>
        <w:t xml:space="preserve">. </w:t>
      </w:r>
      <w:r w:rsidRPr="00490536">
        <w:rPr>
          <w:rFonts w:ascii="Times New Roman" w:hAnsi="Times New Roman"/>
          <w:szCs w:val="24"/>
        </w:rPr>
        <w:t xml:space="preserve"> Medicaid payment is not available for the long</w:t>
      </w:r>
      <w:r w:rsidR="00274F13">
        <w:rPr>
          <w:rFonts w:ascii="Times New Roman" w:hAnsi="Times New Roman"/>
          <w:szCs w:val="24"/>
        </w:rPr>
        <w:t>-</w:t>
      </w:r>
      <w:r w:rsidRPr="00490536">
        <w:rPr>
          <w:rFonts w:ascii="Times New Roman" w:hAnsi="Times New Roman"/>
          <w:szCs w:val="24"/>
        </w:rPr>
        <w:t>term care services the individual receives during the period of ineligibility, although the individual remains eligible for Medicaid coverage of non-long term care State plan services.</w:t>
      </w:r>
    </w:p>
    <w:p w:rsidR="00E749A4" w:rsidRPr="00490536" w:rsidRDefault="00E749A4" w:rsidP="00393167">
      <w:pPr>
        <w:rPr>
          <w:rFonts w:ascii="Times New Roman" w:hAnsi="Times New Roman"/>
          <w:szCs w:val="24"/>
        </w:rPr>
      </w:pPr>
    </w:p>
    <w:p w:rsidR="00393167" w:rsidRDefault="00183EDF" w:rsidP="00393167">
      <w:pPr>
        <w:rPr>
          <w:rFonts w:ascii="Times New Roman" w:hAnsi="Times New Roman"/>
          <w:szCs w:val="24"/>
        </w:rPr>
      </w:pPr>
      <w:r>
        <w:rPr>
          <w:rFonts w:ascii="Times New Roman" w:hAnsi="Times New Roman"/>
          <w:szCs w:val="24"/>
        </w:rPr>
        <w:t xml:space="preserve">While </w:t>
      </w:r>
      <w:r w:rsidR="00035D6C" w:rsidRPr="0002366A">
        <w:rPr>
          <w:rFonts w:ascii="Times New Roman" w:hAnsi="Times New Roman"/>
          <w:color w:val="000000" w:themeColor="text1"/>
          <w:szCs w:val="24"/>
        </w:rPr>
        <w:t>periods of ineligibility</w:t>
      </w:r>
      <w:r w:rsidR="00035D6C">
        <w:rPr>
          <w:rFonts w:ascii="Times New Roman" w:hAnsi="Times New Roman"/>
          <w:szCs w:val="24"/>
        </w:rPr>
        <w:t xml:space="preserve"> </w:t>
      </w:r>
      <w:r>
        <w:rPr>
          <w:rFonts w:ascii="Times New Roman" w:hAnsi="Times New Roman"/>
          <w:szCs w:val="24"/>
        </w:rPr>
        <w:t>are generally required,</w:t>
      </w:r>
      <w:r w:rsidR="00393167" w:rsidRPr="00490536">
        <w:rPr>
          <w:rFonts w:ascii="Times New Roman" w:hAnsi="Times New Roman"/>
          <w:szCs w:val="24"/>
        </w:rPr>
        <w:t xml:space="preserve"> the Act </w:t>
      </w:r>
      <w:r>
        <w:rPr>
          <w:rFonts w:ascii="Times New Roman" w:hAnsi="Times New Roman"/>
          <w:szCs w:val="24"/>
        </w:rPr>
        <w:t xml:space="preserve">establishes certain exceptions </w:t>
      </w:r>
      <w:r w:rsidR="000F6607">
        <w:rPr>
          <w:rFonts w:ascii="Times New Roman" w:hAnsi="Times New Roman"/>
          <w:szCs w:val="24"/>
        </w:rPr>
        <w:t>to the provisions regarding transfers of assets</w:t>
      </w:r>
      <w:r>
        <w:rPr>
          <w:rFonts w:ascii="Times New Roman" w:hAnsi="Times New Roman"/>
          <w:szCs w:val="24"/>
        </w:rPr>
        <w:t xml:space="preserve"> </w:t>
      </w:r>
      <w:r w:rsidR="000F6607">
        <w:rPr>
          <w:rFonts w:ascii="Times New Roman" w:hAnsi="Times New Roman"/>
          <w:szCs w:val="24"/>
        </w:rPr>
        <w:t xml:space="preserve">to </w:t>
      </w:r>
      <w:r>
        <w:rPr>
          <w:rFonts w:ascii="Times New Roman" w:hAnsi="Times New Roman"/>
          <w:szCs w:val="24"/>
        </w:rPr>
        <w:t xml:space="preserve">prevent hardship, allowing </w:t>
      </w:r>
      <w:r w:rsidR="00393167" w:rsidRPr="00490536">
        <w:rPr>
          <w:rFonts w:ascii="Times New Roman" w:hAnsi="Times New Roman"/>
          <w:szCs w:val="24"/>
        </w:rPr>
        <w:t>individuals who have transferred assets to receive long</w:t>
      </w:r>
      <w:r w:rsidR="007D2BA7">
        <w:rPr>
          <w:rFonts w:ascii="Times New Roman" w:hAnsi="Times New Roman"/>
          <w:szCs w:val="24"/>
        </w:rPr>
        <w:t>-</w:t>
      </w:r>
      <w:r w:rsidR="00393167" w:rsidRPr="00490536">
        <w:rPr>
          <w:rFonts w:ascii="Times New Roman" w:hAnsi="Times New Roman"/>
          <w:szCs w:val="24"/>
        </w:rPr>
        <w:t>term care services without the imposition of any penalty period</w:t>
      </w:r>
      <w:r>
        <w:rPr>
          <w:rFonts w:ascii="Times New Roman" w:hAnsi="Times New Roman"/>
          <w:szCs w:val="24"/>
        </w:rPr>
        <w:t xml:space="preserve"> in certain circumstances</w:t>
      </w:r>
      <w:r w:rsidR="00393167" w:rsidRPr="00490536">
        <w:rPr>
          <w:rFonts w:ascii="Times New Roman" w:hAnsi="Times New Roman"/>
          <w:szCs w:val="24"/>
        </w:rPr>
        <w:t>.  The statute specifically exempts transfers of any type of asset to a spouse or to another person for the sole benefit of the spouse under section 1917(c)(2)(B)(i)</w:t>
      </w:r>
      <w:r w:rsidR="00393167">
        <w:rPr>
          <w:rFonts w:ascii="Times New Roman" w:hAnsi="Times New Roman"/>
          <w:szCs w:val="24"/>
        </w:rPr>
        <w:t xml:space="preserve"> of the Act</w:t>
      </w:r>
      <w:r w:rsidR="00393167" w:rsidRPr="00490536">
        <w:rPr>
          <w:rFonts w:ascii="Times New Roman" w:hAnsi="Times New Roman"/>
          <w:szCs w:val="24"/>
        </w:rPr>
        <w:t>, and also exempts the transfer of a home to a spouse under section 1917(c)(2)(A)(i)</w:t>
      </w:r>
      <w:r w:rsidR="0002366A">
        <w:rPr>
          <w:rFonts w:ascii="Times New Roman" w:hAnsi="Times New Roman"/>
          <w:szCs w:val="24"/>
        </w:rPr>
        <w:t xml:space="preserve"> of the Act</w:t>
      </w:r>
      <w:r w:rsidR="00393167" w:rsidRPr="00490536">
        <w:rPr>
          <w:rFonts w:ascii="Times New Roman" w:hAnsi="Times New Roman"/>
          <w:szCs w:val="24"/>
        </w:rPr>
        <w:t>.</w:t>
      </w:r>
      <w:r w:rsidR="00393167">
        <w:rPr>
          <w:rFonts w:ascii="Times New Roman" w:hAnsi="Times New Roman"/>
          <w:szCs w:val="24"/>
        </w:rPr>
        <w:t xml:space="preserve">  </w:t>
      </w:r>
      <w:r w:rsidR="00E075F7">
        <w:rPr>
          <w:rFonts w:ascii="Times New Roman" w:hAnsi="Times New Roman"/>
          <w:szCs w:val="24"/>
        </w:rPr>
        <w:t>T</w:t>
      </w:r>
      <w:r w:rsidR="00393167" w:rsidRPr="00490536">
        <w:rPr>
          <w:rFonts w:ascii="Times New Roman" w:hAnsi="Times New Roman"/>
          <w:szCs w:val="24"/>
        </w:rPr>
        <w:t>he exemptions for transferring assets to a spouse cannot be directly applied to same-sex spouses or partners as a result of DOMA.</w:t>
      </w:r>
    </w:p>
    <w:p w:rsidR="003F4C74" w:rsidRPr="00490536" w:rsidRDefault="003F4C74" w:rsidP="00393167">
      <w:pPr>
        <w:rPr>
          <w:rFonts w:ascii="Times New Roman" w:hAnsi="Times New Roman"/>
          <w:szCs w:val="24"/>
        </w:rPr>
      </w:pPr>
    </w:p>
    <w:p w:rsidR="00A30D47" w:rsidRDefault="00393167" w:rsidP="00393167">
      <w:pPr>
        <w:rPr>
          <w:rFonts w:ascii="Times New Roman" w:hAnsi="Times New Roman"/>
          <w:szCs w:val="24"/>
        </w:rPr>
        <w:sectPr w:rsidR="00A30D47" w:rsidSect="00A30D47">
          <w:headerReference w:type="default" r:id="rId12"/>
          <w:type w:val="continuous"/>
          <w:pgSz w:w="12240" w:h="15840"/>
          <w:pgMar w:top="630" w:right="1440" w:bottom="1200" w:left="1440" w:header="630" w:footer="1200" w:gutter="0"/>
          <w:cols w:space="720"/>
          <w:noEndnote/>
        </w:sectPr>
      </w:pPr>
      <w:r w:rsidRPr="00490536">
        <w:rPr>
          <w:rFonts w:ascii="Times New Roman" w:hAnsi="Times New Roman"/>
          <w:szCs w:val="24"/>
        </w:rPr>
        <w:t>However, under section 1917(c)(2)(D)</w:t>
      </w:r>
      <w:r>
        <w:rPr>
          <w:rFonts w:ascii="Times New Roman" w:hAnsi="Times New Roman"/>
          <w:szCs w:val="24"/>
        </w:rPr>
        <w:t xml:space="preserve"> of the Act,</w:t>
      </w:r>
      <w:r w:rsidRPr="00490536">
        <w:rPr>
          <w:rFonts w:ascii="Times New Roman" w:hAnsi="Times New Roman"/>
          <w:szCs w:val="24"/>
        </w:rPr>
        <w:t xml:space="preserve"> a transfer of assets penalty period will not be applied if the State determines, under procedures established by the State, that denial of eligibility would </w:t>
      </w:r>
      <w:r w:rsidR="0002366A">
        <w:rPr>
          <w:rFonts w:ascii="Times New Roman" w:hAnsi="Times New Roman"/>
          <w:szCs w:val="24"/>
        </w:rPr>
        <w:t>create</w:t>
      </w:r>
      <w:r w:rsidRPr="00490536">
        <w:rPr>
          <w:rFonts w:ascii="Times New Roman" w:hAnsi="Times New Roman"/>
          <w:szCs w:val="24"/>
        </w:rPr>
        <w:t xml:space="preserve"> an undue hardship.  The </w:t>
      </w:r>
      <w:r>
        <w:rPr>
          <w:rFonts w:ascii="Times New Roman" w:hAnsi="Times New Roman"/>
          <w:szCs w:val="24"/>
        </w:rPr>
        <w:t>Deficit Reduction Act of 2005 (</w:t>
      </w:r>
      <w:r w:rsidRPr="00490536">
        <w:rPr>
          <w:rFonts w:ascii="Times New Roman" w:hAnsi="Times New Roman"/>
          <w:szCs w:val="24"/>
        </w:rPr>
        <w:t>DRA</w:t>
      </w:r>
      <w:r w:rsidR="00E154F2">
        <w:rPr>
          <w:rFonts w:ascii="Times New Roman" w:hAnsi="Times New Roman"/>
          <w:szCs w:val="24"/>
        </w:rPr>
        <w:t xml:space="preserve">, </w:t>
      </w:r>
      <w:r w:rsidR="00E154F2" w:rsidRPr="0002366A">
        <w:rPr>
          <w:rFonts w:ascii="Times New Roman" w:hAnsi="Times New Roman"/>
          <w:color w:val="000000" w:themeColor="text1"/>
          <w:szCs w:val="24"/>
        </w:rPr>
        <w:t>Pub. L. No</w:t>
      </w:r>
      <w:r w:rsidR="00AE71C4">
        <w:rPr>
          <w:rFonts w:ascii="Times New Roman" w:hAnsi="Times New Roman"/>
          <w:color w:val="000000" w:themeColor="text1"/>
          <w:szCs w:val="24"/>
        </w:rPr>
        <w:t>.</w:t>
      </w:r>
      <w:r w:rsidR="00E154F2" w:rsidRPr="0002366A">
        <w:rPr>
          <w:rFonts w:ascii="Times New Roman" w:hAnsi="Times New Roman"/>
          <w:color w:val="000000" w:themeColor="text1"/>
          <w:szCs w:val="24"/>
        </w:rPr>
        <w:t xml:space="preserve"> 109-171</w:t>
      </w:r>
      <w:r>
        <w:rPr>
          <w:rFonts w:ascii="Times New Roman" w:hAnsi="Times New Roman"/>
          <w:szCs w:val="24"/>
        </w:rPr>
        <w:t>)</w:t>
      </w:r>
      <w:r w:rsidRPr="00490536">
        <w:rPr>
          <w:rFonts w:ascii="Times New Roman" w:hAnsi="Times New Roman"/>
          <w:szCs w:val="24"/>
        </w:rPr>
        <w:t xml:space="preserve"> provided that</w:t>
      </w:r>
      <w:r w:rsidR="0002366A">
        <w:rPr>
          <w:rFonts w:ascii="Times New Roman" w:hAnsi="Times New Roman"/>
          <w:szCs w:val="24"/>
        </w:rPr>
        <w:t>,</w:t>
      </w:r>
      <w:r w:rsidRPr="00490536">
        <w:rPr>
          <w:rFonts w:ascii="Times New Roman" w:hAnsi="Times New Roman"/>
          <w:szCs w:val="24"/>
        </w:rPr>
        <w:t xml:space="preserve"> in applying this provision</w:t>
      </w:r>
      <w:r w:rsidR="0002366A">
        <w:rPr>
          <w:rFonts w:ascii="Times New Roman" w:hAnsi="Times New Roman"/>
          <w:szCs w:val="24"/>
        </w:rPr>
        <w:t>,</w:t>
      </w:r>
      <w:r w:rsidRPr="00490536">
        <w:rPr>
          <w:rFonts w:ascii="Times New Roman" w:hAnsi="Times New Roman"/>
          <w:szCs w:val="24"/>
        </w:rPr>
        <w:t xml:space="preserve"> States should determine that an undue hardship exists when application of the transfer of assets penalty and denial of eligibility for Medicaid payment for long-term care </w:t>
      </w:r>
      <w:r w:rsidR="00117C24" w:rsidRPr="007417FC">
        <w:rPr>
          <w:rFonts w:ascii="Times New Roman" w:hAnsi="Times New Roman"/>
          <w:szCs w:val="24"/>
        </w:rPr>
        <w:t>would deprive the individual of medical care such that the individual’s health or life would be endangered, or the individual would be deprived of food, clothing, shelter</w:t>
      </w:r>
      <w:r w:rsidR="0002366A">
        <w:rPr>
          <w:rFonts w:ascii="Times New Roman" w:hAnsi="Times New Roman"/>
          <w:szCs w:val="24"/>
        </w:rPr>
        <w:t>,</w:t>
      </w:r>
      <w:r w:rsidR="00117C24" w:rsidRPr="007417FC">
        <w:rPr>
          <w:rFonts w:ascii="Times New Roman" w:hAnsi="Times New Roman"/>
          <w:szCs w:val="24"/>
        </w:rPr>
        <w:t xml:space="preserve"> or other necessities of life.</w:t>
      </w:r>
    </w:p>
    <w:p w:rsidR="0027485D" w:rsidRDefault="0027485D" w:rsidP="00393167">
      <w:pPr>
        <w:rPr>
          <w:rFonts w:ascii="Times New Roman" w:hAnsi="Times New Roman"/>
          <w:szCs w:val="24"/>
        </w:rPr>
      </w:pPr>
    </w:p>
    <w:p w:rsidR="00DA2263" w:rsidRDefault="00033011" w:rsidP="00393167">
      <w:pPr>
        <w:rPr>
          <w:rFonts w:ascii="Times New Roman" w:hAnsi="Times New Roman"/>
          <w:szCs w:val="24"/>
        </w:rPr>
      </w:pPr>
      <w:r>
        <w:rPr>
          <w:rFonts w:ascii="Times New Roman" w:hAnsi="Times New Roman"/>
          <w:szCs w:val="24"/>
        </w:rPr>
        <w:t xml:space="preserve">The </w:t>
      </w:r>
      <w:r w:rsidR="00393167" w:rsidRPr="00490536">
        <w:rPr>
          <w:rFonts w:ascii="Times New Roman" w:hAnsi="Times New Roman"/>
          <w:szCs w:val="24"/>
        </w:rPr>
        <w:t>C</w:t>
      </w:r>
      <w:r>
        <w:rPr>
          <w:rFonts w:ascii="Times New Roman" w:hAnsi="Times New Roman"/>
          <w:szCs w:val="24"/>
        </w:rPr>
        <w:t xml:space="preserve">enters for Medicare &amp; Medicaid Services </w:t>
      </w:r>
      <w:r w:rsidR="00393167" w:rsidRPr="00490536">
        <w:rPr>
          <w:rFonts w:ascii="Times New Roman" w:hAnsi="Times New Roman"/>
          <w:szCs w:val="24"/>
        </w:rPr>
        <w:t xml:space="preserve">has provided guidance on undue hardship determinations in the State Medicaid Manual and </w:t>
      </w:r>
      <w:r w:rsidR="0027485D">
        <w:rPr>
          <w:rFonts w:ascii="Times New Roman" w:hAnsi="Times New Roman"/>
          <w:szCs w:val="24"/>
        </w:rPr>
        <w:t xml:space="preserve">in a </w:t>
      </w:r>
      <w:r w:rsidR="00393167" w:rsidRPr="00490536">
        <w:rPr>
          <w:rFonts w:ascii="Times New Roman" w:hAnsi="Times New Roman"/>
          <w:szCs w:val="24"/>
        </w:rPr>
        <w:t xml:space="preserve">State Medicaid Director letter </w:t>
      </w:r>
    </w:p>
    <w:p w:rsidR="00393167" w:rsidRPr="00490536" w:rsidRDefault="0027485D" w:rsidP="00393167">
      <w:pPr>
        <w:rPr>
          <w:rFonts w:ascii="Times New Roman" w:hAnsi="Times New Roman"/>
          <w:b/>
          <w:szCs w:val="24"/>
        </w:rPr>
      </w:pPr>
      <w:r>
        <w:rPr>
          <w:rFonts w:ascii="Times New Roman" w:hAnsi="Times New Roman"/>
          <w:szCs w:val="24"/>
        </w:rPr>
        <w:t>(SMD #06-018</w:t>
      </w:r>
      <w:r w:rsidR="0002366A">
        <w:rPr>
          <w:rFonts w:ascii="Times New Roman" w:hAnsi="Times New Roman"/>
          <w:szCs w:val="24"/>
        </w:rPr>
        <w:t>,</w:t>
      </w:r>
      <w:r>
        <w:rPr>
          <w:rFonts w:ascii="Times New Roman" w:hAnsi="Times New Roman"/>
          <w:szCs w:val="24"/>
        </w:rPr>
        <w:t xml:space="preserve"> dated July 27, 2006) </w:t>
      </w:r>
      <w:r w:rsidR="00393167" w:rsidRPr="00490536">
        <w:rPr>
          <w:rFonts w:ascii="Times New Roman" w:hAnsi="Times New Roman"/>
          <w:szCs w:val="24"/>
        </w:rPr>
        <w:t>emphasizing that States have considerable flexibility in determining whether undue hardship exists</w:t>
      </w:r>
      <w:r w:rsidR="0002366A">
        <w:rPr>
          <w:rFonts w:ascii="Times New Roman" w:hAnsi="Times New Roman"/>
          <w:szCs w:val="24"/>
        </w:rPr>
        <w:t>,</w:t>
      </w:r>
      <w:r w:rsidR="00393167" w:rsidRPr="00490536">
        <w:rPr>
          <w:rFonts w:ascii="Times New Roman" w:hAnsi="Times New Roman"/>
          <w:szCs w:val="24"/>
        </w:rPr>
        <w:t xml:space="preserve"> and the circumstances under which they will not impose transfer of assets penalties.  Because of the flexibility afforded to States in determining undue hardship, we believe that States may adopt criteria, or even presumptions, that recognize that imposing transfer of assets penalties on the basis of the transfer of ownership interests in a shared home to a same-sex spouse or domestic partner would constitute an undue hardship.</w:t>
      </w:r>
    </w:p>
    <w:p w:rsidR="00C17BF1" w:rsidRDefault="00C17BF1" w:rsidP="00393167">
      <w:pPr>
        <w:rPr>
          <w:rFonts w:ascii="Times New Roman" w:hAnsi="Times New Roman"/>
          <w:b/>
          <w:szCs w:val="24"/>
        </w:rPr>
      </w:pPr>
    </w:p>
    <w:p w:rsidR="00393167" w:rsidRPr="00490536" w:rsidRDefault="00393167" w:rsidP="00A30D47">
      <w:pPr>
        <w:keepNext/>
        <w:keepLines/>
        <w:rPr>
          <w:rFonts w:ascii="Times New Roman" w:hAnsi="Times New Roman"/>
          <w:b/>
          <w:szCs w:val="24"/>
        </w:rPr>
      </w:pPr>
      <w:r w:rsidRPr="00490536">
        <w:rPr>
          <w:rFonts w:ascii="Times New Roman" w:hAnsi="Times New Roman"/>
          <w:b/>
          <w:szCs w:val="24"/>
        </w:rPr>
        <w:t>Estate Recovery:</w:t>
      </w:r>
    </w:p>
    <w:p w:rsidR="009C443A" w:rsidRDefault="00393167" w:rsidP="00A30D47">
      <w:pPr>
        <w:keepNext/>
        <w:keepLines/>
        <w:rPr>
          <w:rFonts w:ascii="Times New Roman" w:hAnsi="Times New Roman"/>
          <w:szCs w:val="24"/>
        </w:rPr>
      </w:pPr>
      <w:r w:rsidRPr="00490536">
        <w:rPr>
          <w:rFonts w:ascii="Times New Roman" w:hAnsi="Times New Roman"/>
          <w:szCs w:val="24"/>
        </w:rPr>
        <w:t>Section</w:t>
      </w:r>
      <w:r w:rsidR="002D4771">
        <w:rPr>
          <w:rFonts w:ascii="Times New Roman" w:hAnsi="Times New Roman"/>
          <w:szCs w:val="24"/>
        </w:rPr>
        <w:t>s</w:t>
      </w:r>
      <w:r w:rsidRPr="00490536">
        <w:rPr>
          <w:rFonts w:ascii="Times New Roman" w:hAnsi="Times New Roman"/>
          <w:szCs w:val="24"/>
        </w:rPr>
        <w:t xml:space="preserve"> </w:t>
      </w:r>
      <w:r w:rsidR="00035D6C" w:rsidRPr="0002366A">
        <w:rPr>
          <w:rFonts w:ascii="Times New Roman" w:hAnsi="Times New Roman"/>
          <w:color w:val="000000" w:themeColor="text1"/>
          <w:szCs w:val="24"/>
        </w:rPr>
        <w:t>1902(a)(18)</w:t>
      </w:r>
      <w:r w:rsidR="00035D6C">
        <w:rPr>
          <w:rFonts w:ascii="Times New Roman" w:hAnsi="Times New Roman"/>
          <w:szCs w:val="24"/>
        </w:rPr>
        <w:t xml:space="preserve"> and </w:t>
      </w:r>
      <w:r w:rsidR="002D4771">
        <w:rPr>
          <w:rFonts w:ascii="Times New Roman" w:hAnsi="Times New Roman"/>
          <w:szCs w:val="24"/>
        </w:rPr>
        <w:t>1917(b)(1) of the Act require</w:t>
      </w:r>
      <w:r w:rsidRPr="00490536">
        <w:rPr>
          <w:rFonts w:ascii="Times New Roman" w:hAnsi="Times New Roman"/>
          <w:szCs w:val="24"/>
        </w:rPr>
        <w:t xml:space="preserve"> States to pursue estate recovery when a Medicaid </w:t>
      </w:r>
      <w:r w:rsidR="005D73A9">
        <w:rPr>
          <w:rFonts w:ascii="Times New Roman" w:hAnsi="Times New Roman"/>
          <w:szCs w:val="24"/>
        </w:rPr>
        <w:t>beneficiary</w:t>
      </w:r>
      <w:r w:rsidR="00614EE4" w:rsidRPr="00490536">
        <w:rPr>
          <w:rFonts w:ascii="Times New Roman" w:hAnsi="Times New Roman"/>
          <w:szCs w:val="24"/>
        </w:rPr>
        <w:t xml:space="preserve"> </w:t>
      </w:r>
      <w:r w:rsidRPr="00490536">
        <w:rPr>
          <w:rFonts w:ascii="Times New Roman" w:hAnsi="Times New Roman"/>
          <w:szCs w:val="24"/>
        </w:rPr>
        <w:t>received medical assistance under the State plan:</w:t>
      </w:r>
      <w:r w:rsidR="004E3EE8">
        <w:rPr>
          <w:rFonts w:ascii="Times New Roman" w:hAnsi="Times New Roman"/>
          <w:szCs w:val="24"/>
        </w:rPr>
        <w:t xml:space="preserve"> </w:t>
      </w:r>
      <w:r w:rsidRPr="00490536">
        <w:rPr>
          <w:rFonts w:ascii="Times New Roman" w:hAnsi="Times New Roman"/>
          <w:szCs w:val="24"/>
        </w:rPr>
        <w:t xml:space="preserve"> 1) in cases where a lien has been imposed und</w:t>
      </w:r>
      <w:r w:rsidR="00DA2263">
        <w:rPr>
          <w:rFonts w:ascii="Times New Roman" w:hAnsi="Times New Roman"/>
          <w:szCs w:val="24"/>
        </w:rPr>
        <w:t xml:space="preserve">er the State’s lien authority, </w:t>
      </w:r>
      <w:r w:rsidRPr="00490536">
        <w:rPr>
          <w:rFonts w:ascii="Times New Roman" w:hAnsi="Times New Roman"/>
          <w:szCs w:val="24"/>
        </w:rPr>
        <w:t xml:space="preserve">and 2) for recipients age 55 and over, who </w:t>
      </w:r>
    </w:p>
    <w:p w:rsidR="00F26C09" w:rsidRDefault="00393167" w:rsidP="00393167">
      <w:pPr>
        <w:rPr>
          <w:rFonts w:ascii="Times New Roman" w:hAnsi="Times New Roman"/>
          <w:szCs w:val="24"/>
        </w:rPr>
      </w:pPr>
      <w:r w:rsidRPr="00490536">
        <w:rPr>
          <w:rFonts w:ascii="Times New Roman" w:hAnsi="Times New Roman"/>
          <w:szCs w:val="24"/>
        </w:rPr>
        <w:t>received nursing facility services, home and community-based services, or related hospital and prescription drug services.</w:t>
      </w:r>
      <w:r>
        <w:rPr>
          <w:rFonts w:ascii="Times New Roman" w:hAnsi="Times New Roman"/>
          <w:szCs w:val="24"/>
        </w:rPr>
        <w:t xml:space="preserve"> </w:t>
      </w:r>
      <w:r w:rsidRPr="00490536">
        <w:rPr>
          <w:rFonts w:ascii="Times New Roman" w:hAnsi="Times New Roman"/>
          <w:szCs w:val="24"/>
        </w:rPr>
        <w:t xml:space="preserve"> States may optionally seek recovery to pay for costs of other approved State plan services provided to those 55 and over, except Medicare cost sharing paid on behalf of Medicare Savings Program beneficiaries on or after January 1, 2010</w:t>
      </w:r>
      <w:r w:rsidR="00E30D2E">
        <w:rPr>
          <w:rFonts w:ascii="Times New Roman" w:hAnsi="Times New Roman"/>
          <w:szCs w:val="24"/>
        </w:rPr>
        <w:t xml:space="preserve">, as provided in Section 115 of the Medicare Improvements for Patients and Providers Act of 2008 (MIPPA), Pub. L. </w:t>
      </w:r>
      <w:r w:rsidR="005620C4">
        <w:rPr>
          <w:rFonts w:ascii="Times New Roman" w:hAnsi="Times New Roman"/>
          <w:szCs w:val="24"/>
        </w:rPr>
        <w:t>110-275)</w:t>
      </w:r>
      <w:r w:rsidRPr="00490536">
        <w:rPr>
          <w:rFonts w:ascii="Times New Roman" w:hAnsi="Times New Roman"/>
          <w:szCs w:val="24"/>
        </w:rPr>
        <w:t>.</w:t>
      </w:r>
    </w:p>
    <w:p w:rsidR="00A36A2A" w:rsidRDefault="00A36A2A" w:rsidP="00393167">
      <w:pPr>
        <w:rPr>
          <w:rFonts w:ascii="Times New Roman" w:hAnsi="Times New Roman"/>
          <w:szCs w:val="24"/>
        </w:rPr>
      </w:pPr>
    </w:p>
    <w:p w:rsidR="00A36A2A" w:rsidRDefault="00973BC0" w:rsidP="00393167">
      <w:pPr>
        <w:rPr>
          <w:rFonts w:ascii="Times New Roman" w:hAnsi="Times New Roman"/>
          <w:szCs w:val="24"/>
        </w:rPr>
      </w:pPr>
      <w:r>
        <w:rPr>
          <w:rFonts w:ascii="Times New Roman" w:hAnsi="Times New Roman"/>
          <w:szCs w:val="24"/>
        </w:rPr>
        <w:lastRenderedPageBreak/>
        <w:t>Per s</w:t>
      </w:r>
      <w:r w:rsidR="00393167" w:rsidRPr="00490536">
        <w:rPr>
          <w:rFonts w:ascii="Times New Roman" w:hAnsi="Times New Roman"/>
          <w:szCs w:val="24"/>
        </w:rPr>
        <w:t>ection 1917(b)(2) of the Act, Medicaid estate recovery may be made only when there is no surviving spouse (</w:t>
      </w:r>
      <w:r w:rsidR="00281B95" w:rsidRPr="0002366A">
        <w:rPr>
          <w:rFonts w:ascii="Times New Roman" w:hAnsi="Times New Roman"/>
          <w:color w:val="000000" w:themeColor="text1"/>
          <w:szCs w:val="24"/>
        </w:rPr>
        <w:t>subject to the provisions</w:t>
      </w:r>
      <w:r w:rsidR="00393167" w:rsidRPr="00490536">
        <w:rPr>
          <w:rFonts w:ascii="Times New Roman" w:hAnsi="Times New Roman"/>
          <w:szCs w:val="24"/>
        </w:rPr>
        <w:t xml:space="preserve"> </w:t>
      </w:r>
      <w:r w:rsidR="0002366A">
        <w:rPr>
          <w:rFonts w:ascii="Times New Roman" w:hAnsi="Times New Roman"/>
          <w:szCs w:val="24"/>
        </w:rPr>
        <w:t xml:space="preserve">in </w:t>
      </w:r>
      <w:r w:rsidR="00393167" w:rsidRPr="00490536">
        <w:rPr>
          <w:rFonts w:ascii="Times New Roman" w:hAnsi="Times New Roman"/>
          <w:szCs w:val="24"/>
        </w:rPr>
        <w:t>DOMA)</w:t>
      </w:r>
      <w:r w:rsidR="007D2BA7">
        <w:rPr>
          <w:rFonts w:ascii="Times New Roman" w:hAnsi="Times New Roman"/>
          <w:szCs w:val="24"/>
        </w:rPr>
        <w:t xml:space="preserve"> and when there is no</w:t>
      </w:r>
      <w:r w:rsidR="00393167" w:rsidRPr="00490536">
        <w:rPr>
          <w:rFonts w:ascii="Times New Roman" w:hAnsi="Times New Roman"/>
          <w:szCs w:val="24"/>
        </w:rPr>
        <w:t xml:space="preserve"> surviving child </w:t>
      </w:r>
    </w:p>
    <w:p w:rsidR="005620C4" w:rsidRDefault="00393167" w:rsidP="00393167">
      <w:pPr>
        <w:rPr>
          <w:rFonts w:ascii="Times New Roman" w:hAnsi="Times New Roman"/>
          <w:szCs w:val="24"/>
        </w:rPr>
      </w:pPr>
      <w:r w:rsidRPr="00490536">
        <w:rPr>
          <w:rFonts w:ascii="Times New Roman" w:hAnsi="Times New Roman"/>
          <w:szCs w:val="24"/>
        </w:rPr>
        <w:t>under age 21, or blind or disabled child of any age.</w:t>
      </w:r>
      <w:r>
        <w:rPr>
          <w:rFonts w:ascii="Times New Roman" w:hAnsi="Times New Roman"/>
          <w:szCs w:val="24"/>
        </w:rPr>
        <w:t xml:space="preserve"> </w:t>
      </w:r>
      <w:r w:rsidRPr="00490536">
        <w:rPr>
          <w:rFonts w:ascii="Times New Roman" w:hAnsi="Times New Roman"/>
          <w:szCs w:val="24"/>
        </w:rPr>
        <w:t xml:space="preserve"> When estate recovery occurs pursuant to a lien, protections are afforded for siblings still lawfully residing in the home, as well as for sons or daughters who provided care to the parents and who continue to lawfully reside in the home. </w:t>
      </w:r>
      <w:r>
        <w:rPr>
          <w:rFonts w:ascii="Times New Roman" w:hAnsi="Times New Roman"/>
          <w:szCs w:val="24"/>
        </w:rPr>
        <w:t xml:space="preserve"> </w:t>
      </w:r>
    </w:p>
    <w:p w:rsidR="005620C4" w:rsidRDefault="005620C4" w:rsidP="00393167">
      <w:pPr>
        <w:rPr>
          <w:rFonts w:ascii="Times New Roman" w:hAnsi="Times New Roman"/>
          <w:szCs w:val="24"/>
        </w:rPr>
      </w:pPr>
    </w:p>
    <w:p w:rsidR="00393167" w:rsidRPr="00490536" w:rsidRDefault="006D1938" w:rsidP="00393167">
      <w:pPr>
        <w:rPr>
          <w:rFonts w:ascii="Times New Roman" w:hAnsi="Times New Roman"/>
          <w:szCs w:val="24"/>
        </w:rPr>
      </w:pPr>
      <w:r>
        <w:rPr>
          <w:rFonts w:ascii="Times New Roman" w:hAnsi="Times New Roman"/>
          <w:szCs w:val="24"/>
        </w:rPr>
        <w:t>In addition</w:t>
      </w:r>
      <w:r w:rsidR="00973BC0">
        <w:rPr>
          <w:rFonts w:ascii="Times New Roman" w:hAnsi="Times New Roman"/>
          <w:szCs w:val="24"/>
        </w:rPr>
        <w:t>, States are required by s</w:t>
      </w:r>
      <w:r w:rsidR="00393167" w:rsidRPr="00490536">
        <w:rPr>
          <w:rFonts w:ascii="Times New Roman" w:hAnsi="Times New Roman"/>
          <w:szCs w:val="24"/>
        </w:rPr>
        <w:t xml:space="preserve">ection 1917(b)(3) of the Act to have procedures to waive estate recovery where it would </w:t>
      </w:r>
      <w:r w:rsidR="0002366A">
        <w:rPr>
          <w:rFonts w:ascii="Times New Roman" w:hAnsi="Times New Roman"/>
          <w:szCs w:val="24"/>
        </w:rPr>
        <w:t>create</w:t>
      </w:r>
      <w:r w:rsidR="00393167" w:rsidRPr="00490536">
        <w:rPr>
          <w:rFonts w:ascii="Times New Roman" w:hAnsi="Times New Roman"/>
          <w:szCs w:val="24"/>
        </w:rPr>
        <w:t xml:space="preserve"> an undue hardship</w:t>
      </w:r>
      <w:r w:rsidR="00F01DE4">
        <w:rPr>
          <w:rFonts w:ascii="Times New Roman" w:hAnsi="Times New Roman"/>
          <w:szCs w:val="24"/>
        </w:rPr>
        <w:t xml:space="preserve"> for the deceased Medicaid recipient’s heirs. </w:t>
      </w:r>
      <w:r w:rsidR="008F5B5C">
        <w:rPr>
          <w:rFonts w:ascii="Times New Roman" w:hAnsi="Times New Roman"/>
          <w:szCs w:val="24"/>
        </w:rPr>
        <w:t xml:space="preserve">States have </w:t>
      </w:r>
      <w:r w:rsidR="00033011">
        <w:rPr>
          <w:rFonts w:ascii="Times New Roman" w:hAnsi="Times New Roman"/>
          <w:szCs w:val="24"/>
        </w:rPr>
        <w:t>flexibility to design</w:t>
      </w:r>
      <w:r w:rsidR="005620C4">
        <w:rPr>
          <w:rFonts w:ascii="Times New Roman" w:hAnsi="Times New Roman"/>
          <w:szCs w:val="24"/>
        </w:rPr>
        <w:t xml:space="preserve"> reasonable</w:t>
      </w:r>
      <w:r w:rsidR="00033011">
        <w:rPr>
          <w:rFonts w:ascii="Times New Roman" w:hAnsi="Times New Roman"/>
          <w:szCs w:val="24"/>
        </w:rPr>
        <w:t xml:space="preserve"> criteria for</w:t>
      </w:r>
      <w:r w:rsidR="008F5B5C">
        <w:rPr>
          <w:rFonts w:ascii="Times New Roman" w:hAnsi="Times New Roman"/>
          <w:szCs w:val="24"/>
        </w:rPr>
        <w:t xml:space="preserve"> determining what constitutes an</w:t>
      </w:r>
      <w:r w:rsidR="00033011">
        <w:rPr>
          <w:rFonts w:ascii="Times New Roman" w:hAnsi="Times New Roman"/>
          <w:szCs w:val="24"/>
        </w:rPr>
        <w:t xml:space="preserve"> undue hardship </w:t>
      </w:r>
      <w:r w:rsidR="00141B05">
        <w:rPr>
          <w:rFonts w:ascii="Times New Roman" w:hAnsi="Times New Roman"/>
          <w:szCs w:val="24"/>
        </w:rPr>
        <w:t>a</w:t>
      </w:r>
      <w:r w:rsidR="008F5B5C">
        <w:rPr>
          <w:rFonts w:ascii="Times New Roman" w:hAnsi="Times New Roman"/>
          <w:szCs w:val="24"/>
        </w:rPr>
        <w:t>nd who may be afforded protection from estate recovery in such instances</w:t>
      </w:r>
      <w:r w:rsidR="00033011">
        <w:rPr>
          <w:rFonts w:ascii="Times New Roman" w:hAnsi="Times New Roman"/>
          <w:szCs w:val="24"/>
        </w:rPr>
        <w:t>.</w:t>
      </w:r>
      <w:r w:rsidR="00B5506E">
        <w:rPr>
          <w:rFonts w:ascii="Times New Roman" w:hAnsi="Times New Roman"/>
          <w:szCs w:val="24"/>
        </w:rPr>
        <w:t xml:space="preserve">  At the State’s discretion, this may include establishing reasonable protections applicable to the same-sex spouse or domestic partner of a deceased Medicaid recipient.  </w:t>
      </w:r>
      <w:r w:rsidR="00393167" w:rsidRPr="00490536">
        <w:rPr>
          <w:rFonts w:ascii="Times New Roman" w:hAnsi="Times New Roman"/>
          <w:szCs w:val="24"/>
        </w:rPr>
        <w:t xml:space="preserve">The State plan </w:t>
      </w:r>
      <w:r w:rsidR="00B5506E">
        <w:rPr>
          <w:rFonts w:ascii="Times New Roman" w:hAnsi="Times New Roman"/>
          <w:szCs w:val="24"/>
        </w:rPr>
        <w:t xml:space="preserve">need only </w:t>
      </w:r>
      <w:r w:rsidR="00393167" w:rsidRPr="00490536">
        <w:rPr>
          <w:rFonts w:ascii="Times New Roman" w:hAnsi="Times New Roman"/>
          <w:szCs w:val="24"/>
        </w:rPr>
        <w:t xml:space="preserve">specify the criteria for waiver of estate recovery claims due to undue hardship.   </w:t>
      </w:r>
    </w:p>
    <w:p w:rsidR="0027485D" w:rsidRDefault="0027485D" w:rsidP="00393167">
      <w:pPr>
        <w:rPr>
          <w:rFonts w:ascii="Times New Roman" w:hAnsi="Times New Roman"/>
          <w:szCs w:val="24"/>
        </w:rPr>
      </w:pPr>
    </w:p>
    <w:p w:rsidR="00393167" w:rsidRPr="00490536" w:rsidRDefault="00393167" w:rsidP="00393167">
      <w:pPr>
        <w:rPr>
          <w:rFonts w:ascii="Times New Roman" w:hAnsi="Times New Roman"/>
          <w:szCs w:val="24"/>
        </w:rPr>
      </w:pPr>
      <w:r w:rsidRPr="00490536">
        <w:rPr>
          <w:rFonts w:ascii="Times New Roman" w:hAnsi="Times New Roman"/>
          <w:szCs w:val="24"/>
        </w:rPr>
        <w:t>We hope this guidance regarding existing options for liens, transfer of assets, and estate recovery provides useful clarification regarding State plan flexibilities available to all Medicaid recipients, regardless of sexual orientation.</w:t>
      </w:r>
      <w:r>
        <w:rPr>
          <w:rFonts w:ascii="Times New Roman" w:hAnsi="Times New Roman"/>
          <w:szCs w:val="24"/>
        </w:rPr>
        <w:t xml:space="preserve"> </w:t>
      </w:r>
      <w:r w:rsidRPr="00490536">
        <w:rPr>
          <w:rFonts w:ascii="Times New Roman" w:hAnsi="Times New Roman"/>
          <w:szCs w:val="24"/>
        </w:rPr>
        <w:t xml:space="preserve"> If you have any questions regarding the guidance pertaining to liens and estate recovery, please contact Nancy Dieter, Technical Director, Division of </w:t>
      </w:r>
      <w:r w:rsidR="009E0DF1">
        <w:rPr>
          <w:rFonts w:ascii="Times New Roman" w:hAnsi="Times New Roman"/>
          <w:szCs w:val="24"/>
        </w:rPr>
        <w:t>Integrated Health Systems</w:t>
      </w:r>
      <w:r w:rsidRPr="00490536">
        <w:rPr>
          <w:rFonts w:ascii="Times New Roman" w:hAnsi="Times New Roman"/>
          <w:szCs w:val="24"/>
        </w:rPr>
        <w:t xml:space="preserve"> at 410-786-7219</w:t>
      </w:r>
      <w:r w:rsidR="0002366A">
        <w:rPr>
          <w:rFonts w:ascii="Times New Roman" w:hAnsi="Times New Roman"/>
          <w:szCs w:val="24"/>
        </w:rPr>
        <w:t>,</w:t>
      </w:r>
      <w:r w:rsidRPr="00490536">
        <w:rPr>
          <w:rFonts w:ascii="Times New Roman" w:hAnsi="Times New Roman"/>
          <w:szCs w:val="24"/>
        </w:rPr>
        <w:t xml:space="preserve"> or by email at </w:t>
      </w:r>
      <w:hyperlink r:id="rId13" w:history="1">
        <w:r w:rsidRPr="00490536">
          <w:rPr>
            <w:rStyle w:val="Hyperlink"/>
            <w:rFonts w:ascii="Times New Roman" w:hAnsi="Times New Roman"/>
            <w:szCs w:val="24"/>
          </w:rPr>
          <w:t>nancy.dieter@cms.hhs.gov</w:t>
        </w:r>
      </w:hyperlink>
      <w:r w:rsidRPr="00490536">
        <w:rPr>
          <w:rFonts w:ascii="Times New Roman" w:hAnsi="Times New Roman"/>
          <w:szCs w:val="24"/>
        </w:rPr>
        <w:t>.</w:t>
      </w:r>
      <w:r>
        <w:rPr>
          <w:rFonts w:ascii="Times New Roman" w:hAnsi="Times New Roman"/>
          <w:szCs w:val="24"/>
        </w:rPr>
        <w:t xml:space="preserve"> </w:t>
      </w:r>
      <w:r w:rsidRPr="00490536">
        <w:rPr>
          <w:rFonts w:ascii="Times New Roman" w:hAnsi="Times New Roman"/>
          <w:szCs w:val="24"/>
        </w:rPr>
        <w:t xml:space="preserve"> Questions pertaining to transfer</w:t>
      </w:r>
      <w:r>
        <w:rPr>
          <w:rFonts w:ascii="Times New Roman" w:hAnsi="Times New Roman"/>
          <w:szCs w:val="24"/>
        </w:rPr>
        <w:t>s</w:t>
      </w:r>
      <w:r w:rsidRPr="00490536">
        <w:rPr>
          <w:rFonts w:ascii="Times New Roman" w:hAnsi="Times New Roman"/>
          <w:szCs w:val="24"/>
        </w:rPr>
        <w:t xml:space="preserve"> of assets may be referred to Roy Trudel, Technical Director, Division of Eligibility</w:t>
      </w:r>
      <w:r w:rsidR="009E0DF1">
        <w:rPr>
          <w:rFonts w:ascii="Times New Roman" w:hAnsi="Times New Roman"/>
          <w:szCs w:val="24"/>
        </w:rPr>
        <w:t>, Enrollment and Outreach</w:t>
      </w:r>
      <w:r w:rsidRPr="00490536">
        <w:rPr>
          <w:rFonts w:ascii="Times New Roman" w:hAnsi="Times New Roman"/>
          <w:szCs w:val="24"/>
        </w:rPr>
        <w:t xml:space="preserve"> at 410-786-3417</w:t>
      </w:r>
      <w:r w:rsidR="0002366A">
        <w:rPr>
          <w:rFonts w:ascii="Times New Roman" w:hAnsi="Times New Roman"/>
          <w:szCs w:val="24"/>
        </w:rPr>
        <w:t>,</w:t>
      </w:r>
      <w:r w:rsidRPr="00490536">
        <w:rPr>
          <w:rFonts w:ascii="Times New Roman" w:hAnsi="Times New Roman"/>
          <w:szCs w:val="24"/>
        </w:rPr>
        <w:t xml:space="preserve"> or by email</w:t>
      </w:r>
      <w:r>
        <w:rPr>
          <w:rFonts w:ascii="Times New Roman" w:hAnsi="Times New Roman"/>
          <w:szCs w:val="24"/>
        </w:rPr>
        <w:t xml:space="preserve"> </w:t>
      </w:r>
      <w:r w:rsidRPr="00490536">
        <w:rPr>
          <w:rFonts w:ascii="Times New Roman" w:hAnsi="Times New Roman"/>
          <w:szCs w:val="24"/>
        </w:rPr>
        <w:t xml:space="preserve">at </w:t>
      </w:r>
      <w:hyperlink r:id="rId14" w:history="1">
        <w:r w:rsidRPr="00490536">
          <w:rPr>
            <w:rStyle w:val="Hyperlink"/>
            <w:rFonts w:ascii="Times New Roman" w:hAnsi="Times New Roman"/>
            <w:szCs w:val="24"/>
          </w:rPr>
          <w:t>roy.trudel@cms.hhs.gov</w:t>
        </w:r>
      </w:hyperlink>
      <w:r w:rsidRPr="00490536">
        <w:rPr>
          <w:rFonts w:ascii="Times New Roman" w:hAnsi="Times New Roman"/>
          <w:szCs w:val="24"/>
        </w:rPr>
        <w:t xml:space="preserve">.                   </w:t>
      </w:r>
    </w:p>
    <w:p w:rsidR="00393167" w:rsidRDefault="00393167" w:rsidP="00393167">
      <w:pPr>
        <w:rPr>
          <w:rFonts w:ascii="Times New Roman" w:hAnsi="Times New Roman"/>
          <w:szCs w:val="24"/>
        </w:rPr>
      </w:pPr>
    </w:p>
    <w:p w:rsidR="00393167" w:rsidRPr="00490536" w:rsidRDefault="00393167" w:rsidP="00393167">
      <w:pPr>
        <w:ind w:left="3600" w:firstLine="720"/>
        <w:rPr>
          <w:rFonts w:ascii="Times New Roman" w:hAnsi="Times New Roman"/>
          <w:szCs w:val="24"/>
        </w:rPr>
      </w:pPr>
      <w:r w:rsidRPr="00490536">
        <w:rPr>
          <w:rFonts w:ascii="Times New Roman" w:hAnsi="Times New Roman"/>
          <w:szCs w:val="24"/>
        </w:rPr>
        <w:t>Sincerely,</w:t>
      </w:r>
    </w:p>
    <w:p w:rsidR="00393167" w:rsidRDefault="00393167" w:rsidP="00393167">
      <w:pPr>
        <w:jc w:val="center"/>
        <w:rPr>
          <w:rFonts w:ascii="Times New Roman" w:hAnsi="Times New Roman"/>
          <w:szCs w:val="24"/>
        </w:rPr>
      </w:pPr>
    </w:p>
    <w:p w:rsidR="005D73A9" w:rsidRDefault="005D73A9" w:rsidP="00393167">
      <w:pPr>
        <w:jc w:val="center"/>
        <w:rPr>
          <w:rFonts w:ascii="Times New Roman" w:hAnsi="Times New Roman"/>
          <w:szCs w:val="24"/>
        </w:rPr>
      </w:pPr>
    </w:p>
    <w:p w:rsidR="005D73A9" w:rsidRPr="00490536" w:rsidRDefault="005D73A9" w:rsidP="00393167">
      <w:pPr>
        <w:jc w:val="center"/>
        <w:rPr>
          <w:rFonts w:ascii="Times New Roman" w:hAnsi="Times New Roman"/>
          <w:szCs w:val="24"/>
        </w:rPr>
      </w:pPr>
    </w:p>
    <w:p w:rsidR="00393167" w:rsidRDefault="00393167" w:rsidP="00393167">
      <w:pPr>
        <w:ind w:left="3600" w:firstLine="720"/>
        <w:rPr>
          <w:rFonts w:ascii="Times New Roman" w:hAnsi="Times New Roman"/>
          <w:szCs w:val="24"/>
        </w:rPr>
      </w:pPr>
      <w:r w:rsidRPr="00490536">
        <w:rPr>
          <w:rFonts w:ascii="Times New Roman" w:hAnsi="Times New Roman"/>
          <w:szCs w:val="24"/>
        </w:rPr>
        <w:t>Cindy Mann</w:t>
      </w:r>
    </w:p>
    <w:p w:rsidR="00A30D47" w:rsidRDefault="00393167" w:rsidP="00393167">
      <w:pPr>
        <w:ind w:left="3600" w:firstLine="720"/>
        <w:rPr>
          <w:rFonts w:ascii="Times New Roman" w:hAnsi="Times New Roman"/>
          <w:szCs w:val="24"/>
        </w:rPr>
        <w:sectPr w:rsidR="00A30D47" w:rsidSect="00A30D47">
          <w:headerReference w:type="even" r:id="rId15"/>
          <w:type w:val="continuous"/>
          <w:pgSz w:w="12240" w:h="15840"/>
          <w:pgMar w:top="1440" w:right="1440" w:bottom="1440" w:left="1440" w:header="630" w:footer="1200" w:gutter="0"/>
          <w:cols w:space="720"/>
          <w:noEndnote/>
          <w:docGrid w:linePitch="326"/>
        </w:sectPr>
      </w:pPr>
      <w:r w:rsidRPr="00490536">
        <w:rPr>
          <w:rFonts w:ascii="Times New Roman" w:hAnsi="Times New Roman"/>
          <w:szCs w:val="24"/>
        </w:rPr>
        <w:t>Director</w:t>
      </w:r>
    </w:p>
    <w:p w:rsidR="00393167" w:rsidRPr="00490536" w:rsidRDefault="00393167" w:rsidP="00393167">
      <w:pPr>
        <w:ind w:left="3600" w:firstLine="720"/>
        <w:rPr>
          <w:rFonts w:ascii="Times New Roman" w:hAnsi="Times New Roman"/>
          <w:szCs w:val="24"/>
        </w:rPr>
      </w:pPr>
    </w:p>
    <w:p w:rsidR="00393167" w:rsidRDefault="00393167" w:rsidP="00393167"/>
    <w:p w:rsidR="005D73A9" w:rsidRDefault="005D73A9" w:rsidP="00393167">
      <w:r>
        <w:br w:type="page"/>
      </w:r>
    </w:p>
    <w:p w:rsidR="00393167" w:rsidRDefault="00393167" w:rsidP="00393167">
      <w:r>
        <w:t>cc:</w:t>
      </w:r>
    </w:p>
    <w:p w:rsidR="00393167" w:rsidRDefault="00393167" w:rsidP="00393167"/>
    <w:p w:rsidR="00393167" w:rsidRDefault="00393167" w:rsidP="00393167">
      <w:r>
        <w:t>CMS Regional Administrators</w:t>
      </w:r>
    </w:p>
    <w:p w:rsidR="00393167" w:rsidRPr="00D740E2" w:rsidRDefault="00393167" w:rsidP="00393167"/>
    <w:p w:rsidR="00393167" w:rsidRDefault="00393167" w:rsidP="00393167">
      <w:pPr>
        <w:pStyle w:val="Default"/>
        <w:rPr>
          <w:sz w:val="23"/>
          <w:szCs w:val="23"/>
        </w:rPr>
      </w:pPr>
      <w:r>
        <w:rPr>
          <w:sz w:val="23"/>
          <w:szCs w:val="23"/>
        </w:rPr>
        <w:t xml:space="preserve">CMS Associate Regional Administrators </w:t>
      </w:r>
    </w:p>
    <w:p w:rsidR="00393167" w:rsidRDefault="00393167" w:rsidP="00393167">
      <w:pPr>
        <w:pStyle w:val="Default"/>
        <w:rPr>
          <w:sz w:val="23"/>
          <w:szCs w:val="23"/>
        </w:rPr>
      </w:pPr>
    </w:p>
    <w:p w:rsidR="00393167" w:rsidRPr="0027485D" w:rsidRDefault="00393167" w:rsidP="00393167">
      <w:pPr>
        <w:pStyle w:val="Default"/>
      </w:pPr>
      <w:r w:rsidRPr="0027485D">
        <w:t xml:space="preserve">Division of Medicaid and Children’s Health </w:t>
      </w:r>
    </w:p>
    <w:p w:rsidR="00393167" w:rsidRPr="0027485D" w:rsidRDefault="00393167" w:rsidP="00393167">
      <w:pPr>
        <w:pStyle w:val="Default"/>
      </w:pPr>
    </w:p>
    <w:p w:rsidR="00393167" w:rsidRPr="0027485D" w:rsidRDefault="00393167" w:rsidP="00393167">
      <w:pPr>
        <w:pStyle w:val="Default"/>
      </w:pPr>
      <w:r w:rsidRPr="0027485D">
        <w:t xml:space="preserve">Rick Fenton </w:t>
      </w:r>
    </w:p>
    <w:p w:rsidR="00393167" w:rsidRPr="0027485D" w:rsidRDefault="00393167" w:rsidP="00393167">
      <w:pPr>
        <w:pStyle w:val="Default"/>
      </w:pPr>
      <w:r w:rsidRPr="0027485D">
        <w:t xml:space="preserve">Acting Director </w:t>
      </w:r>
    </w:p>
    <w:p w:rsidR="00393167" w:rsidRPr="0027485D" w:rsidRDefault="00393167" w:rsidP="00393167">
      <w:pPr>
        <w:pStyle w:val="Default"/>
      </w:pPr>
      <w:r w:rsidRPr="0027485D">
        <w:t xml:space="preserve">Health Services Division </w:t>
      </w:r>
    </w:p>
    <w:p w:rsidR="00393167" w:rsidRPr="0027485D" w:rsidRDefault="00393167" w:rsidP="00393167">
      <w:pPr>
        <w:pStyle w:val="Default"/>
      </w:pPr>
      <w:r w:rsidRPr="0027485D">
        <w:t xml:space="preserve">American Public Human Services Association </w:t>
      </w:r>
    </w:p>
    <w:p w:rsidR="00393167" w:rsidRPr="0027485D" w:rsidRDefault="00393167" w:rsidP="00393167">
      <w:pPr>
        <w:pStyle w:val="Default"/>
      </w:pPr>
    </w:p>
    <w:p w:rsidR="004E3EE8" w:rsidRDefault="004E3EE8" w:rsidP="004E3EE8">
      <w:pPr>
        <w:pStyle w:val="Default"/>
      </w:pPr>
      <w:r>
        <w:rPr>
          <w:sz w:val="23"/>
          <w:szCs w:val="23"/>
        </w:rPr>
        <w:t xml:space="preserve">Andrew Allison </w:t>
      </w:r>
    </w:p>
    <w:p w:rsidR="00393167" w:rsidRPr="0027485D" w:rsidRDefault="00393167" w:rsidP="00393167">
      <w:pPr>
        <w:pStyle w:val="Default"/>
      </w:pPr>
      <w:r w:rsidRPr="0027485D">
        <w:t xml:space="preserve">President </w:t>
      </w:r>
    </w:p>
    <w:p w:rsidR="00393167" w:rsidRPr="0027485D" w:rsidRDefault="00393167" w:rsidP="00393167">
      <w:pPr>
        <w:pStyle w:val="Default"/>
      </w:pPr>
      <w:r w:rsidRPr="0027485D">
        <w:t xml:space="preserve">National Association of Medicaid Directors </w:t>
      </w:r>
    </w:p>
    <w:p w:rsidR="00241C68" w:rsidRDefault="00241C68"/>
    <w:p w:rsidR="00E749A4" w:rsidRPr="0027485D" w:rsidRDefault="00E749A4" w:rsidP="00E749A4">
      <w:pPr>
        <w:pStyle w:val="Default"/>
      </w:pPr>
      <w:r>
        <w:t>J</w:t>
      </w:r>
      <w:r w:rsidRPr="0027485D">
        <w:t xml:space="preserve">oy Wilson </w:t>
      </w:r>
    </w:p>
    <w:p w:rsidR="00E749A4" w:rsidRPr="0027485D" w:rsidRDefault="00E749A4" w:rsidP="00E749A4">
      <w:pPr>
        <w:pStyle w:val="Default"/>
      </w:pPr>
      <w:r w:rsidRPr="0027485D">
        <w:t xml:space="preserve">Director, Health Committee </w:t>
      </w:r>
    </w:p>
    <w:p w:rsidR="00393167" w:rsidRPr="0027485D" w:rsidRDefault="00393167" w:rsidP="00393167">
      <w:pPr>
        <w:pStyle w:val="Default"/>
      </w:pPr>
      <w:r w:rsidRPr="0027485D">
        <w:t>National Conference of State Legislatures</w:t>
      </w:r>
    </w:p>
    <w:p w:rsidR="00393167" w:rsidRPr="0027485D" w:rsidRDefault="00393167" w:rsidP="00393167">
      <w:pPr>
        <w:pStyle w:val="Default"/>
      </w:pPr>
    </w:p>
    <w:p w:rsidR="00393167" w:rsidRPr="0027485D" w:rsidRDefault="00393167" w:rsidP="00393167">
      <w:pPr>
        <w:pStyle w:val="Default"/>
      </w:pPr>
      <w:r w:rsidRPr="0027485D">
        <w:t xml:space="preserve">Matt Salo </w:t>
      </w:r>
    </w:p>
    <w:p w:rsidR="00393167" w:rsidRPr="0027485D" w:rsidRDefault="00393167" w:rsidP="00393167">
      <w:pPr>
        <w:pStyle w:val="Default"/>
      </w:pPr>
      <w:r w:rsidRPr="0027485D">
        <w:t xml:space="preserve">Director of Health Legislation </w:t>
      </w:r>
    </w:p>
    <w:p w:rsidR="00393167" w:rsidRPr="0027485D" w:rsidRDefault="00393167" w:rsidP="00393167">
      <w:pPr>
        <w:pStyle w:val="Default"/>
      </w:pPr>
      <w:r w:rsidRPr="0027485D">
        <w:t>National Governors Association</w:t>
      </w:r>
    </w:p>
    <w:p w:rsidR="00393167" w:rsidRPr="0027485D" w:rsidRDefault="00393167" w:rsidP="00393167">
      <w:pPr>
        <w:pStyle w:val="Default"/>
      </w:pPr>
    </w:p>
    <w:p w:rsidR="00393167" w:rsidRPr="0027485D" w:rsidRDefault="00393167" w:rsidP="00393167">
      <w:pPr>
        <w:pStyle w:val="Default"/>
      </w:pPr>
      <w:r w:rsidRPr="0027485D">
        <w:t xml:space="preserve">Debra Miller </w:t>
      </w:r>
    </w:p>
    <w:p w:rsidR="00393167" w:rsidRPr="0027485D" w:rsidRDefault="00393167" w:rsidP="00393167">
      <w:pPr>
        <w:pStyle w:val="Default"/>
      </w:pPr>
      <w:r w:rsidRPr="0027485D">
        <w:t xml:space="preserve">Director for Health Policy </w:t>
      </w:r>
    </w:p>
    <w:p w:rsidR="00393167" w:rsidRPr="0027485D" w:rsidRDefault="00393167" w:rsidP="00393167">
      <w:pPr>
        <w:pStyle w:val="Default"/>
      </w:pPr>
      <w:r w:rsidRPr="0027485D">
        <w:t xml:space="preserve">Council of State Governments </w:t>
      </w:r>
    </w:p>
    <w:p w:rsidR="00393167" w:rsidRPr="0027485D" w:rsidRDefault="00393167" w:rsidP="00393167">
      <w:pPr>
        <w:pStyle w:val="Default"/>
      </w:pPr>
    </w:p>
    <w:p w:rsidR="00393167" w:rsidRPr="0027485D" w:rsidRDefault="00393167" w:rsidP="00393167">
      <w:pPr>
        <w:pStyle w:val="Default"/>
      </w:pPr>
      <w:r w:rsidRPr="0027485D">
        <w:t xml:space="preserve">Christine Evans, M.P.H. </w:t>
      </w:r>
    </w:p>
    <w:p w:rsidR="00393167" w:rsidRPr="0027485D" w:rsidRDefault="00393167" w:rsidP="00393167">
      <w:pPr>
        <w:pStyle w:val="Default"/>
      </w:pPr>
      <w:r w:rsidRPr="0027485D">
        <w:t xml:space="preserve">Director, Government Relations </w:t>
      </w:r>
    </w:p>
    <w:p w:rsidR="00393167" w:rsidRPr="0027485D" w:rsidRDefault="00393167" w:rsidP="00393167">
      <w:pPr>
        <w:pStyle w:val="Default"/>
      </w:pPr>
      <w:r w:rsidRPr="0027485D">
        <w:t>Association of State and Territorial Health Officials</w:t>
      </w:r>
    </w:p>
    <w:p w:rsidR="00393167" w:rsidRPr="0027485D" w:rsidRDefault="00393167" w:rsidP="00393167">
      <w:pPr>
        <w:pStyle w:val="Default"/>
      </w:pPr>
      <w:r w:rsidRPr="0027485D">
        <w:t xml:space="preserve"> </w:t>
      </w:r>
    </w:p>
    <w:p w:rsidR="00393167" w:rsidRPr="0027485D" w:rsidRDefault="00393167" w:rsidP="00393167">
      <w:pPr>
        <w:pStyle w:val="Default"/>
      </w:pPr>
      <w:r w:rsidRPr="0027485D">
        <w:t xml:space="preserve">Alan R. Weil, J.D., M.P.P. </w:t>
      </w:r>
    </w:p>
    <w:p w:rsidR="00393167" w:rsidRPr="0027485D" w:rsidRDefault="00393167" w:rsidP="00393167">
      <w:pPr>
        <w:pStyle w:val="Default"/>
      </w:pPr>
      <w:r w:rsidRPr="0027485D">
        <w:t xml:space="preserve">Executive Director </w:t>
      </w:r>
    </w:p>
    <w:p w:rsidR="00393167" w:rsidRDefault="00393167" w:rsidP="005A64CC">
      <w:pPr>
        <w:pStyle w:val="Default"/>
        <w:rPr>
          <w:sz w:val="23"/>
          <w:szCs w:val="23"/>
        </w:rPr>
      </w:pPr>
      <w:r w:rsidRPr="0027485D">
        <w:t xml:space="preserve">National Academy for State Health </w:t>
      </w:r>
      <w:r w:rsidR="005A64CC">
        <w:t>Policy</w:t>
      </w:r>
    </w:p>
    <w:sectPr w:rsidR="00393167" w:rsidSect="00A30D47">
      <w:headerReference w:type="even" r:id="rId16"/>
      <w:type w:val="continuous"/>
      <w:pgSz w:w="12240" w:h="15840"/>
      <w:pgMar w:top="1440" w:right="1440" w:bottom="1440" w:left="1440" w:header="630" w:footer="120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DF1" w:rsidRDefault="009E0DF1" w:rsidP="00D60170">
      <w:r>
        <w:separator/>
      </w:r>
    </w:p>
  </w:endnote>
  <w:endnote w:type="continuationSeparator" w:id="0">
    <w:p w:rsidR="009E0DF1" w:rsidRDefault="009E0DF1" w:rsidP="00D60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DF1" w:rsidRDefault="009E0DF1" w:rsidP="00D60170">
      <w:r>
        <w:separator/>
      </w:r>
    </w:p>
  </w:footnote>
  <w:footnote w:type="continuationSeparator" w:id="0">
    <w:p w:rsidR="009E0DF1" w:rsidRDefault="009E0DF1" w:rsidP="00D60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F1" w:rsidRPr="00F26C09" w:rsidRDefault="009E0DF1" w:rsidP="00F26C09">
    <w:pPr>
      <w:rPr>
        <w:rFonts w:ascii="Times New Roman" w:hAnsi="Times New Roman"/>
        <w:szCs w:val="24"/>
      </w:rPr>
    </w:pPr>
    <w:r>
      <w:rPr>
        <w:rFonts w:ascii="Times New Roman" w:hAnsi="Times New Roman"/>
        <w:szCs w:val="24"/>
      </w:rPr>
      <w:t>Page 2 – State Medicaid Director</w:t>
    </w:r>
  </w:p>
  <w:p w:rsidR="009E0DF1" w:rsidRDefault="009E0D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F1" w:rsidRDefault="009E0DF1" w:rsidP="00A30D47">
    <w:pPr>
      <w:rPr>
        <w:rFonts w:ascii="Times New Roman" w:hAnsi="Times New Roman"/>
        <w:szCs w:val="24"/>
      </w:rPr>
    </w:pPr>
    <w:r>
      <w:rPr>
        <w:rFonts w:ascii="Times New Roman" w:hAnsi="Times New Roman"/>
        <w:szCs w:val="24"/>
      </w:rPr>
      <w:t>Page 2 – State Medicaid Director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F1" w:rsidRDefault="009E0DF1" w:rsidP="00A30D47">
    <w:pPr>
      <w:rPr>
        <w:rFonts w:ascii="Times New Roman" w:hAnsi="Times New Roman"/>
        <w:szCs w:val="24"/>
      </w:rPr>
    </w:pPr>
    <w:r>
      <w:rPr>
        <w:rFonts w:ascii="Times New Roman" w:hAnsi="Times New Roman"/>
        <w:szCs w:val="24"/>
      </w:rPr>
      <w:t>Page 3 – State Medicaid Director</w:t>
    </w:r>
  </w:p>
  <w:p w:rsidR="009E0DF1" w:rsidRDefault="009E0DF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F1" w:rsidRDefault="009E0DF1" w:rsidP="00A30D47">
    <w:pPr>
      <w:rPr>
        <w:rFonts w:ascii="Times New Roman" w:hAnsi="Times New Roman"/>
        <w:szCs w:val="24"/>
      </w:rPr>
    </w:pPr>
    <w:r>
      <w:rPr>
        <w:rFonts w:ascii="Times New Roman" w:hAnsi="Times New Roman"/>
        <w:szCs w:val="24"/>
      </w:rPr>
      <w:t>Page 2 – State Medicaid Director</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DF1" w:rsidRDefault="009E0DF1" w:rsidP="00A30D47">
    <w:r>
      <w:t>Page 4 – State Medicaid Director</w:t>
    </w:r>
  </w:p>
  <w:p w:rsidR="009E0DF1" w:rsidRPr="00A30D47" w:rsidRDefault="009E0DF1" w:rsidP="00A30D47">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F579D"/>
    <w:multiLevelType w:val="hybridMultilevel"/>
    <w:tmpl w:val="6EECE76A"/>
    <w:lvl w:ilvl="0" w:tplc="792ACE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7C4A51"/>
    <w:multiLevelType w:val="hybridMultilevel"/>
    <w:tmpl w:val="854A01E0"/>
    <w:lvl w:ilvl="0" w:tplc="50BA6F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D214D0"/>
    <w:multiLevelType w:val="hybridMultilevel"/>
    <w:tmpl w:val="B060D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7609B"/>
    <w:multiLevelType w:val="hybridMultilevel"/>
    <w:tmpl w:val="AA1A4B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F510B8"/>
    <w:multiLevelType w:val="hybridMultilevel"/>
    <w:tmpl w:val="25860ECE"/>
    <w:lvl w:ilvl="0" w:tplc="0848ECB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817E97"/>
    <w:multiLevelType w:val="hybridMultilevel"/>
    <w:tmpl w:val="1146E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C75610E"/>
    <w:multiLevelType w:val="hybridMultilevel"/>
    <w:tmpl w:val="4FDC1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B9F232D"/>
    <w:multiLevelType w:val="singleLevel"/>
    <w:tmpl w:val="EE26B6AE"/>
    <w:lvl w:ilvl="0">
      <w:start w:val="1"/>
      <w:numFmt w:val="bullet"/>
      <w:lvlText w:val=""/>
      <w:lvlJc w:val="left"/>
      <w:pPr>
        <w:tabs>
          <w:tab w:val="num" w:pos="504"/>
        </w:tabs>
        <w:ind w:left="504" w:hanging="504"/>
      </w:pPr>
      <w:rPr>
        <w:rFonts w:ascii="Symbol" w:hAnsi="Symbol" w:hint="default"/>
      </w:rPr>
    </w:lvl>
  </w:abstractNum>
  <w:abstractNum w:abstractNumId="8">
    <w:nsid w:val="5DBC4011"/>
    <w:multiLevelType w:val="hybridMultilevel"/>
    <w:tmpl w:val="A4F86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94B7E44"/>
    <w:multiLevelType w:val="hybridMultilevel"/>
    <w:tmpl w:val="7B7A9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4"/>
  </w:num>
  <w:num w:numId="4">
    <w:abstractNumId w:val="3"/>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5"/>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oofState w:spelling="clean" w:grammar="clean"/>
  <w:stylePaneFormatFilter w:val="3F01"/>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8B10DC"/>
    <w:rsid w:val="00016474"/>
    <w:rsid w:val="0002366A"/>
    <w:rsid w:val="00033011"/>
    <w:rsid w:val="00035D6C"/>
    <w:rsid w:val="00037009"/>
    <w:rsid w:val="000371F9"/>
    <w:rsid w:val="0004280A"/>
    <w:rsid w:val="000471EE"/>
    <w:rsid w:val="00065DE5"/>
    <w:rsid w:val="0008372A"/>
    <w:rsid w:val="000900AB"/>
    <w:rsid w:val="000C1DEA"/>
    <w:rsid w:val="000E5D07"/>
    <w:rsid w:val="000F6607"/>
    <w:rsid w:val="000F66F9"/>
    <w:rsid w:val="0010244B"/>
    <w:rsid w:val="00117C24"/>
    <w:rsid w:val="00137A78"/>
    <w:rsid w:val="00141B05"/>
    <w:rsid w:val="00153145"/>
    <w:rsid w:val="00173458"/>
    <w:rsid w:val="00175164"/>
    <w:rsid w:val="00183EDF"/>
    <w:rsid w:val="001A505D"/>
    <w:rsid w:val="001C6863"/>
    <w:rsid w:val="001C7859"/>
    <w:rsid w:val="001F0A15"/>
    <w:rsid w:val="00225200"/>
    <w:rsid w:val="00227914"/>
    <w:rsid w:val="00233F5E"/>
    <w:rsid w:val="00241C68"/>
    <w:rsid w:val="00243810"/>
    <w:rsid w:val="00245783"/>
    <w:rsid w:val="0026308C"/>
    <w:rsid w:val="0027485D"/>
    <w:rsid w:val="00274F13"/>
    <w:rsid w:val="00281B95"/>
    <w:rsid w:val="00282815"/>
    <w:rsid w:val="002A5C7B"/>
    <w:rsid w:val="002A708D"/>
    <w:rsid w:val="002C3E05"/>
    <w:rsid w:val="002D4771"/>
    <w:rsid w:val="002E3EC7"/>
    <w:rsid w:val="002E66D7"/>
    <w:rsid w:val="00323A10"/>
    <w:rsid w:val="003260A0"/>
    <w:rsid w:val="00327766"/>
    <w:rsid w:val="00393167"/>
    <w:rsid w:val="003A70C9"/>
    <w:rsid w:val="003B694E"/>
    <w:rsid w:val="003B6A4B"/>
    <w:rsid w:val="003B7325"/>
    <w:rsid w:val="003C238F"/>
    <w:rsid w:val="003F4C74"/>
    <w:rsid w:val="003F7A30"/>
    <w:rsid w:val="00427D38"/>
    <w:rsid w:val="004357B8"/>
    <w:rsid w:val="00461B8F"/>
    <w:rsid w:val="00462873"/>
    <w:rsid w:val="004901C5"/>
    <w:rsid w:val="004A6169"/>
    <w:rsid w:val="004B1283"/>
    <w:rsid w:val="004B75AA"/>
    <w:rsid w:val="004C7147"/>
    <w:rsid w:val="004D233D"/>
    <w:rsid w:val="004E3EE8"/>
    <w:rsid w:val="005523E3"/>
    <w:rsid w:val="005620C4"/>
    <w:rsid w:val="00562186"/>
    <w:rsid w:val="00570CE1"/>
    <w:rsid w:val="005A64CC"/>
    <w:rsid w:val="005B1F55"/>
    <w:rsid w:val="005C2D1A"/>
    <w:rsid w:val="005D73A9"/>
    <w:rsid w:val="005E4B9D"/>
    <w:rsid w:val="00602BDD"/>
    <w:rsid w:val="00613580"/>
    <w:rsid w:val="00614E3B"/>
    <w:rsid w:val="00614EE4"/>
    <w:rsid w:val="0064072F"/>
    <w:rsid w:val="00665B88"/>
    <w:rsid w:val="006736EF"/>
    <w:rsid w:val="006C0B8A"/>
    <w:rsid w:val="006D04FA"/>
    <w:rsid w:val="006D1938"/>
    <w:rsid w:val="006F4D84"/>
    <w:rsid w:val="006F7616"/>
    <w:rsid w:val="0070501E"/>
    <w:rsid w:val="0072199E"/>
    <w:rsid w:val="007269BF"/>
    <w:rsid w:val="007417FC"/>
    <w:rsid w:val="00757E1B"/>
    <w:rsid w:val="007604CD"/>
    <w:rsid w:val="007609E3"/>
    <w:rsid w:val="007619A9"/>
    <w:rsid w:val="007A24F7"/>
    <w:rsid w:val="007D2BA7"/>
    <w:rsid w:val="007E0E49"/>
    <w:rsid w:val="00816961"/>
    <w:rsid w:val="00824CB5"/>
    <w:rsid w:val="0083193B"/>
    <w:rsid w:val="008420A8"/>
    <w:rsid w:val="00864C0C"/>
    <w:rsid w:val="0087036C"/>
    <w:rsid w:val="00895026"/>
    <w:rsid w:val="008A3C8C"/>
    <w:rsid w:val="008B10DC"/>
    <w:rsid w:val="008B17CE"/>
    <w:rsid w:val="008B6769"/>
    <w:rsid w:val="008C2854"/>
    <w:rsid w:val="008E776C"/>
    <w:rsid w:val="008F5B5C"/>
    <w:rsid w:val="008F7893"/>
    <w:rsid w:val="0093091D"/>
    <w:rsid w:val="00931D38"/>
    <w:rsid w:val="00973BC0"/>
    <w:rsid w:val="009900E7"/>
    <w:rsid w:val="009C443A"/>
    <w:rsid w:val="009E0420"/>
    <w:rsid w:val="009E068F"/>
    <w:rsid w:val="009E0DF1"/>
    <w:rsid w:val="009E1273"/>
    <w:rsid w:val="009E7606"/>
    <w:rsid w:val="00A0161C"/>
    <w:rsid w:val="00A06431"/>
    <w:rsid w:val="00A06FD0"/>
    <w:rsid w:val="00A151A4"/>
    <w:rsid w:val="00A21528"/>
    <w:rsid w:val="00A2231E"/>
    <w:rsid w:val="00A30D47"/>
    <w:rsid w:val="00A36A2A"/>
    <w:rsid w:val="00A837AD"/>
    <w:rsid w:val="00A94BC6"/>
    <w:rsid w:val="00AA43F7"/>
    <w:rsid w:val="00AB3B2D"/>
    <w:rsid w:val="00AC744A"/>
    <w:rsid w:val="00AE71C4"/>
    <w:rsid w:val="00B15E05"/>
    <w:rsid w:val="00B21855"/>
    <w:rsid w:val="00B21DED"/>
    <w:rsid w:val="00B343A2"/>
    <w:rsid w:val="00B41E6B"/>
    <w:rsid w:val="00B42D37"/>
    <w:rsid w:val="00B5506E"/>
    <w:rsid w:val="00B577B6"/>
    <w:rsid w:val="00B8086D"/>
    <w:rsid w:val="00B972F4"/>
    <w:rsid w:val="00BB0AED"/>
    <w:rsid w:val="00BB0FC3"/>
    <w:rsid w:val="00BC0ECA"/>
    <w:rsid w:val="00BE227F"/>
    <w:rsid w:val="00BF6FF4"/>
    <w:rsid w:val="00C051FA"/>
    <w:rsid w:val="00C11726"/>
    <w:rsid w:val="00C17BF1"/>
    <w:rsid w:val="00C22EB7"/>
    <w:rsid w:val="00C55497"/>
    <w:rsid w:val="00C7613A"/>
    <w:rsid w:val="00C873D8"/>
    <w:rsid w:val="00CA7701"/>
    <w:rsid w:val="00CB2C1A"/>
    <w:rsid w:val="00CD5FC6"/>
    <w:rsid w:val="00CE34C1"/>
    <w:rsid w:val="00CF161A"/>
    <w:rsid w:val="00D1300A"/>
    <w:rsid w:val="00D2682B"/>
    <w:rsid w:val="00D44E0C"/>
    <w:rsid w:val="00D468A6"/>
    <w:rsid w:val="00D60170"/>
    <w:rsid w:val="00D61124"/>
    <w:rsid w:val="00D70A4B"/>
    <w:rsid w:val="00D71529"/>
    <w:rsid w:val="00D734F9"/>
    <w:rsid w:val="00DA2263"/>
    <w:rsid w:val="00DD02FB"/>
    <w:rsid w:val="00DE14F6"/>
    <w:rsid w:val="00DF7851"/>
    <w:rsid w:val="00E01959"/>
    <w:rsid w:val="00E03AE0"/>
    <w:rsid w:val="00E075F7"/>
    <w:rsid w:val="00E154F2"/>
    <w:rsid w:val="00E23328"/>
    <w:rsid w:val="00E30D2E"/>
    <w:rsid w:val="00E56003"/>
    <w:rsid w:val="00E64BDE"/>
    <w:rsid w:val="00E73F2C"/>
    <w:rsid w:val="00E7478A"/>
    <w:rsid w:val="00E749A4"/>
    <w:rsid w:val="00EC30CB"/>
    <w:rsid w:val="00ED0352"/>
    <w:rsid w:val="00ED5DE3"/>
    <w:rsid w:val="00EE565F"/>
    <w:rsid w:val="00F01DE4"/>
    <w:rsid w:val="00F04C9B"/>
    <w:rsid w:val="00F106F0"/>
    <w:rsid w:val="00F13B0E"/>
    <w:rsid w:val="00F26C09"/>
    <w:rsid w:val="00F37FEB"/>
    <w:rsid w:val="00F66059"/>
    <w:rsid w:val="00F76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6F9"/>
    <w:rPr>
      <w:sz w:val="24"/>
    </w:rPr>
  </w:style>
  <w:style w:type="paragraph" w:styleId="Heading1">
    <w:name w:val="heading 1"/>
    <w:basedOn w:val="Normal"/>
    <w:next w:val="Normal"/>
    <w:qFormat/>
    <w:rsid w:val="000F66F9"/>
    <w:pPr>
      <w:keepNext/>
      <w:ind w:left="360"/>
      <w:outlineLvl w:val="0"/>
    </w:pPr>
    <w:rPr>
      <w:rFonts w:ascii="Times New Roman" w:eastAsia="Times New Roman" w:hAnsi="Times New Roman"/>
      <w:b/>
      <w:snapToGrid w:val="0"/>
    </w:rPr>
  </w:style>
  <w:style w:type="paragraph" w:styleId="Heading2">
    <w:name w:val="heading 2"/>
    <w:basedOn w:val="Normal"/>
    <w:next w:val="Normal"/>
    <w:qFormat/>
    <w:rsid w:val="000F66F9"/>
    <w:pPr>
      <w:keepNext/>
      <w:ind w:left="360" w:right="-432"/>
      <w:outlineLvl w:val="1"/>
    </w:pPr>
    <w:rPr>
      <w:rFonts w:ascii="Times New Roman" w:eastAsia="Times New Roman" w:hAnsi="Times New Roman"/>
      <w:b/>
      <w:snapToGrid w:val="0"/>
    </w:rPr>
  </w:style>
  <w:style w:type="paragraph" w:styleId="Heading3">
    <w:name w:val="heading 3"/>
    <w:basedOn w:val="Normal"/>
    <w:next w:val="Normal"/>
    <w:qFormat/>
    <w:rsid w:val="000F66F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rFonts w:ascii="Times New Roman" w:hAnsi="Times New Roman"/>
      <w:b/>
    </w:rPr>
  </w:style>
  <w:style w:type="paragraph" w:styleId="Heading4">
    <w:name w:val="heading 4"/>
    <w:basedOn w:val="Normal"/>
    <w:next w:val="Normal"/>
    <w:qFormat/>
    <w:rsid w:val="000F66F9"/>
    <w:pPr>
      <w:keepNext/>
      <w:outlineLvl w:val="3"/>
    </w:pPr>
    <w:rPr>
      <w:b/>
      <w:bCs/>
      <w:u w:val="single"/>
    </w:rPr>
  </w:style>
  <w:style w:type="paragraph" w:styleId="Heading6">
    <w:name w:val="heading 6"/>
    <w:basedOn w:val="Normal"/>
    <w:next w:val="Normal"/>
    <w:qFormat/>
    <w:rsid w:val="008B10DC"/>
    <w:pPr>
      <w:spacing w:before="240" w:after="60"/>
      <w:outlineLvl w:val="5"/>
    </w:pPr>
    <w:rPr>
      <w:rFonts w:ascii="Times New Roman" w:eastAsia="Times New Roman" w:hAnsi="Times New Roman"/>
      <w:b/>
      <w:bCs/>
      <w:sz w:val="22"/>
      <w:szCs w:val="22"/>
    </w:rPr>
  </w:style>
  <w:style w:type="paragraph" w:styleId="Heading8">
    <w:name w:val="heading 8"/>
    <w:basedOn w:val="Normal"/>
    <w:next w:val="Normal"/>
    <w:qFormat/>
    <w:rsid w:val="008B10DC"/>
    <w:pPr>
      <w:spacing w:before="240" w:after="60"/>
      <w:outlineLvl w:val="7"/>
    </w:pPr>
    <w:rPr>
      <w:rFonts w:ascii="Times New Roman" w:eastAsia="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F66F9"/>
    <w:pPr>
      <w:ind w:left="360" w:right="-432"/>
    </w:pPr>
    <w:rPr>
      <w:rFonts w:ascii="Times New Roman" w:eastAsia="Times New Roman" w:hAnsi="Times New Roman"/>
      <w:snapToGrid w:val="0"/>
    </w:rPr>
  </w:style>
  <w:style w:type="paragraph" w:styleId="BodyText">
    <w:name w:val="Body Text"/>
    <w:basedOn w:val="Normal"/>
    <w:rsid w:val="000F66F9"/>
    <w:pPr>
      <w:spacing w:line="480" w:lineRule="auto"/>
      <w:ind w:right="-432"/>
    </w:pPr>
    <w:rPr>
      <w:rFonts w:ascii="Courier" w:eastAsia="Times New Roman" w:hAnsi="Courier"/>
      <w:snapToGrid w:val="0"/>
    </w:rPr>
  </w:style>
  <w:style w:type="paragraph" w:styleId="BodyText2">
    <w:name w:val="Body Text 2"/>
    <w:basedOn w:val="Normal"/>
    <w:rsid w:val="000F66F9"/>
    <w:pPr>
      <w:ind w:right="432"/>
    </w:pPr>
  </w:style>
  <w:style w:type="paragraph" w:styleId="BodyText3">
    <w:name w:val="Body Text 3"/>
    <w:basedOn w:val="Normal"/>
    <w:rsid w:val="000F66F9"/>
    <w:pPr>
      <w:ind w:right="792"/>
    </w:pPr>
  </w:style>
  <w:style w:type="paragraph" w:styleId="BalloonText">
    <w:name w:val="Balloon Text"/>
    <w:basedOn w:val="Normal"/>
    <w:semiHidden/>
    <w:rsid w:val="008B10DC"/>
    <w:rPr>
      <w:rFonts w:ascii="Tahoma" w:hAnsi="Tahoma" w:cs="Tahoma"/>
      <w:sz w:val="16"/>
      <w:szCs w:val="16"/>
    </w:rPr>
  </w:style>
  <w:style w:type="character" w:styleId="Hyperlink">
    <w:name w:val="Hyperlink"/>
    <w:basedOn w:val="DefaultParagraphFont"/>
    <w:uiPriority w:val="99"/>
    <w:unhideWhenUsed/>
    <w:rsid w:val="00393167"/>
    <w:rPr>
      <w:color w:val="0000FF" w:themeColor="hyperlink"/>
      <w:u w:val="single"/>
    </w:rPr>
  </w:style>
  <w:style w:type="paragraph" w:customStyle="1" w:styleId="Default">
    <w:name w:val="Default"/>
    <w:rsid w:val="0039316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rsid w:val="0064072F"/>
    <w:rPr>
      <w:sz w:val="16"/>
      <w:szCs w:val="16"/>
    </w:rPr>
  </w:style>
  <w:style w:type="paragraph" w:styleId="CommentText">
    <w:name w:val="annotation text"/>
    <w:basedOn w:val="Normal"/>
    <w:link w:val="CommentTextChar"/>
    <w:rsid w:val="0064072F"/>
    <w:rPr>
      <w:sz w:val="20"/>
    </w:rPr>
  </w:style>
  <w:style w:type="character" w:customStyle="1" w:styleId="CommentTextChar">
    <w:name w:val="Comment Text Char"/>
    <w:basedOn w:val="DefaultParagraphFont"/>
    <w:link w:val="CommentText"/>
    <w:rsid w:val="0064072F"/>
  </w:style>
  <w:style w:type="paragraph" w:styleId="CommentSubject">
    <w:name w:val="annotation subject"/>
    <w:basedOn w:val="CommentText"/>
    <w:next w:val="CommentText"/>
    <w:link w:val="CommentSubjectChar"/>
    <w:rsid w:val="0064072F"/>
    <w:rPr>
      <w:b/>
      <w:bCs/>
    </w:rPr>
  </w:style>
  <w:style w:type="character" w:customStyle="1" w:styleId="CommentSubjectChar">
    <w:name w:val="Comment Subject Char"/>
    <w:basedOn w:val="CommentTextChar"/>
    <w:link w:val="CommentSubject"/>
    <w:rsid w:val="0064072F"/>
    <w:rPr>
      <w:b/>
      <w:bCs/>
    </w:rPr>
  </w:style>
  <w:style w:type="paragraph" w:styleId="Header">
    <w:name w:val="header"/>
    <w:basedOn w:val="Normal"/>
    <w:link w:val="HeaderChar"/>
    <w:uiPriority w:val="99"/>
    <w:rsid w:val="00D60170"/>
    <w:pPr>
      <w:tabs>
        <w:tab w:val="center" w:pos="4680"/>
        <w:tab w:val="right" w:pos="9360"/>
      </w:tabs>
    </w:pPr>
  </w:style>
  <w:style w:type="character" w:customStyle="1" w:styleId="HeaderChar">
    <w:name w:val="Header Char"/>
    <w:basedOn w:val="DefaultParagraphFont"/>
    <w:link w:val="Header"/>
    <w:uiPriority w:val="99"/>
    <w:rsid w:val="00D60170"/>
    <w:rPr>
      <w:sz w:val="24"/>
    </w:rPr>
  </w:style>
  <w:style w:type="paragraph" w:styleId="Footer">
    <w:name w:val="footer"/>
    <w:basedOn w:val="Normal"/>
    <w:link w:val="FooterChar"/>
    <w:uiPriority w:val="99"/>
    <w:rsid w:val="00D60170"/>
    <w:pPr>
      <w:tabs>
        <w:tab w:val="center" w:pos="4680"/>
        <w:tab w:val="right" w:pos="9360"/>
      </w:tabs>
    </w:pPr>
  </w:style>
  <w:style w:type="character" w:customStyle="1" w:styleId="FooterChar">
    <w:name w:val="Footer Char"/>
    <w:basedOn w:val="DefaultParagraphFont"/>
    <w:link w:val="Footer"/>
    <w:uiPriority w:val="99"/>
    <w:rsid w:val="00D60170"/>
    <w:rPr>
      <w:sz w:val="24"/>
    </w:rPr>
  </w:style>
  <w:style w:type="paragraph" w:styleId="ListParagraph">
    <w:name w:val="List Paragraph"/>
    <w:basedOn w:val="Normal"/>
    <w:uiPriority w:val="34"/>
    <w:qFormat/>
    <w:rsid w:val="00864C0C"/>
    <w:pPr>
      <w:ind w:left="720"/>
      <w:contextualSpacing/>
    </w:pPr>
  </w:style>
  <w:style w:type="paragraph" w:styleId="Revision">
    <w:name w:val="Revision"/>
    <w:hidden/>
    <w:uiPriority w:val="99"/>
    <w:semiHidden/>
    <w:rsid w:val="00AA43F7"/>
    <w:rPr>
      <w:sz w:val="24"/>
    </w:rPr>
  </w:style>
</w:styles>
</file>

<file path=word/webSettings.xml><?xml version="1.0" encoding="utf-8"?>
<w:webSettings xmlns:r="http://schemas.openxmlformats.org/officeDocument/2006/relationships" xmlns:w="http://schemas.openxmlformats.org/wordprocessingml/2006/main">
  <w:divs>
    <w:div w:id="11030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ncy.dieter@cms.hh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roy.trudel@cms.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50042-47DE-40D7-A1EC-DCEF3C7D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2011-06-09T16:29:00Z</dcterms:created>
  <dcterms:modified xsi:type="dcterms:W3CDTF">2011-06-09T16:29:00Z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